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E33BA" w:rsidRDefault="004E33BA">
      <w:pPr>
        <w:rPr>
          <w:rFonts w:ascii="黑体" w:eastAsia="黑体" w:hAnsi="黑体" w:hint="eastAsia"/>
          <w:sz w:val="32"/>
          <w:szCs w:val="32"/>
        </w:rPr>
      </w:pPr>
    </w:p>
    <w:p w:rsidR="004E33BA" w:rsidRDefault="004E33BA">
      <w:pPr>
        <w:jc w:val="center"/>
        <w:rPr>
          <w:rFonts w:ascii="方正小标宋_GBK" w:eastAsia="方正小标宋_GBK" w:hAnsi="宋体" w:hint="eastAsia"/>
          <w:sz w:val="44"/>
          <w:szCs w:val="44"/>
        </w:rPr>
      </w:pPr>
    </w:p>
    <w:p w:rsidR="004E33B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木垒哈萨克自治县民生工业园区管理委员会</w:t>
      </w:r>
    </w:p>
    <w:p w:rsidR="004E33B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4E33B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4E33B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4E33B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rsidR="004E33B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4E33B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rsidR="004E33B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4E33BA"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4E33B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4E33B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4E33B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4E33B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4E33B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4E33B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4E33B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4E33B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4E33BA"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4E33B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4E33B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rsidR="004E33B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rsidR="004E33B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rsidR="004E33B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4E33B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rsidR="004E33BA"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4E33BA"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4E33B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4E33B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4E33B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4E33B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4E33B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4E33B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4E33B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4E33B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4E33B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4E33BA" w:rsidRDefault="00000000">
      <w:r>
        <w:rPr>
          <w:rFonts w:ascii="仿宋_GB2312" w:eastAsia="仿宋_GB2312" w:hAnsi="仿宋_GB2312" w:cs="仿宋_GB2312" w:hint="eastAsia"/>
          <w:sz w:val="32"/>
          <w:szCs w:val="32"/>
        </w:rPr>
        <w:fldChar w:fldCharType="end"/>
      </w:r>
    </w:p>
    <w:p w:rsidR="004E33BA" w:rsidRDefault="00000000">
      <w:pPr>
        <w:rPr>
          <w:rFonts w:ascii="仿宋_GB2312" w:eastAsia="仿宋_GB2312"/>
          <w:sz w:val="32"/>
          <w:szCs w:val="32"/>
        </w:rPr>
      </w:pPr>
      <w:r>
        <w:rPr>
          <w:rFonts w:ascii="仿宋_GB2312" w:eastAsia="仿宋_GB2312" w:hint="eastAsia"/>
          <w:sz w:val="32"/>
          <w:szCs w:val="32"/>
        </w:rPr>
        <w:br w:type="page"/>
      </w:r>
    </w:p>
    <w:p w:rsidR="004E33B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4E33B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木垒哈萨克自治县民生工业园区管理委员会主要负责园区内党的建设、精神文明建设及园区的招商引资、对外经济技术合作工作，按规定权限和程序管理园区的投资项目，主要有以下职能：</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执行国家、区、州、县有关工业园区建设的法律、法规和行政规章；负责园区内党的建设、精神文明建设，协调有关部门做好纪检监察工作、干部人事工作、劳动和社会保障工作、法制工作。</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负责园区内的经济社会发展计划和统计；协调有关部门做好园区内的规划、建设、房产、土地资源开发利用和管理、环境保护、安全生产管理工作；制定园区产业发展规划，拟定园区年度工作计划并组织实施。</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综合协调社会事务各项工作；负责规划协调外引内联企业的综合服务；负责协调管理有关部门在园区的派驻机构及工作人员；负责园区的招商引资、对外经济技术合作工作，按规定权限和程序管理园区的投资项目;负责签约、意向项目的跟踪服务工作；负责入园项目洽谈和服务工作。</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承办县委、县政府交办的其他工作。</w:t>
      </w:r>
    </w:p>
    <w:p w:rsidR="004E33B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木垒哈萨克自治县民生工业园区管理委员会2023年度，</w:t>
      </w:r>
      <w:r>
        <w:rPr>
          <w:rFonts w:ascii="仿宋_GB2312" w:eastAsia="仿宋_GB2312" w:hint="eastAsia"/>
          <w:sz w:val="32"/>
          <w:szCs w:val="32"/>
        </w:rPr>
        <w:lastRenderedPageBreak/>
        <w:t>实有人数20人，其中：在职人员20人，离休人员0人，退休人员0人。</w:t>
      </w:r>
    </w:p>
    <w:p w:rsidR="004E33BA" w:rsidRDefault="00000000">
      <w:pPr>
        <w:ind w:firstLineChars="200" w:firstLine="640"/>
        <w:rPr>
          <w:rFonts w:ascii="仿宋_GB2312" w:eastAsia="仿宋_GB2312"/>
          <w:sz w:val="32"/>
          <w:szCs w:val="32"/>
        </w:rPr>
        <w:sectPr w:rsidR="004E33BA">
          <w:footerReference w:type="default" r:id="rId8"/>
          <w:pgSz w:w="11906" w:h="16838"/>
          <w:pgMar w:top="1440" w:right="1800" w:bottom="1440" w:left="1800" w:header="851" w:footer="992" w:gutter="0"/>
          <w:cols w:space="720"/>
          <w:docGrid w:type="lines" w:linePitch="312"/>
        </w:sectPr>
      </w:pPr>
      <w:r>
        <w:rPr>
          <w:rFonts w:ascii="仿宋_GB2312" w:eastAsia="仿宋_GB2312" w:hint="eastAsia"/>
          <w:sz w:val="32"/>
          <w:szCs w:val="32"/>
        </w:rPr>
        <w:t>单位无下属预算单位，下设4个处室，分别是：</w:t>
      </w:r>
      <w:r>
        <w:rPr>
          <w:rFonts w:ascii="仿宋_GB2312" w:eastAsia="仿宋_GB2312" w:hAnsi="宋体" w:cs="宋体" w:hint="eastAsia"/>
          <w:kern w:val="0"/>
          <w:sz w:val="32"/>
          <w:szCs w:val="32"/>
        </w:rPr>
        <w:t>安全生产监督管理局、规划建设环保局、产业发展招商局、综合办公室</w:t>
      </w:r>
      <w:r>
        <w:rPr>
          <w:rFonts w:ascii="仿宋_GB2312" w:eastAsia="仿宋_GB2312" w:hint="eastAsia"/>
          <w:sz w:val="32"/>
          <w:szCs w:val="32"/>
        </w:rPr>
        <w:t>。</w:t>
      </w:r>
    </w:p>
    <w:p w:rsidR="004E33BA"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rsidR="004E33BA"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2023年度收入总计8,152.86万元，其中：本年收入合计8,152.86万元，使用非财政拨款结余0.00万元，年初结转和结余0.00万元。</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2023年度支出总计8,152.86万元，其中：本年支出合计8,152.86万元，结余分配0.00万元，年末结转和结余0.00万元。</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收入支出总体与上年相比，增加3,708.37万元，增长83.44%，主要原因是：本年民生工业园区防范和化解拖欠中小企业账款项目经费增加、民生工业园区电采暖电费增加、基础设施（二期）建设项目第二标段土地补偿费增加。</w:t>
      </w:r>
    </w:p>
    <w:p w:rsidR="004E33B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本年收入8,152.86万元，其中：财政拨款收入8,152.86万元，占100.00%；上级补助收入0.00万元，占0.00%；事业收入0.00万元，占0.00%；经营收入0.00万元，占0.00%；附属单位上缴收入0.00万元，占0.00%；其他收入0.00万元，占0.00%。</w:t>
      </w:r>
    </w:p>
    <w:p w:rsidR="004E33B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本年支出8,152.86万元，其中：基本支出347.76万元，占4.27%；项目支出7,805.10万元，占95.73%；上缴上级支出0.00万元，占0.00%；经营支出0.00万元，占0.00%；</w:t>
      </w:r>
      <w:r>
        <w:rPr>
          <w:rFonts w:ascii="仿宋_GB2312" w:eastAsia="仿宋_GB2312" w:hint="eastAsia"/>
          <w:sz w:val="32"/>
          <w:szCs w:val="32"/>
        </w:rPr>
        <w:lastRenderedPageBreak/>
        <w:t>对附属单位补助支出0.00万元，占0.00%。</w:t>
      </w:r>
    </w:p>
    <w:p w:rsidR="004E33B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财政拨款收入总计8,152.86万元，其中：年初财政拨款结转和结余0.00万元，本年财政拨款收入8,152.86万元。财政拨款支出总计8,152.86万元，其中：年末财政拨款结转和结余0.00万元，本年财政拨款支出8,152.86万元。</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增加3,708.37万元，增长83.44%,主要原因是：本年民生工业园区防范和化解拖欠中小企业账款项目经费增加、民生工业园区电采暖电费增加、基础设施（二期）建设项目第二标段土地补偿费增加。与年初预算相比，年初预算数332.39万元，决算数8,152.86万元，预决算差异率2,352.80%，主要原因是：年中追加民生工业园区防范和化解拖欠中小企业账款项目经费、民生工业园区电采暖电费、基础设施（二期）建设项目第二标段土地补偿费。</w:t>
      </w:r>
    </w:p>
    <w:p w:rsidR="004E33BA"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rsidR="004E33B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2023年度一般公共预算财政拨款支出937.28万元，占本年支出合计的11.50%。与上年相比，减少1,489.72万元，下降61.38%,主要原因是：2023年度为民办实事、办好事项目工作经费减少。与年初预算相比，年初预算数332.39万</w:t>
      </w:r>
      <w:r>
        <w:rPr>
          <w:rFonts w:ascii="仿宋_GB2312" w:eastAsia="仿宋_GB2312" w:hint="eastAsia"/>
          <w:sz w:val="32"/>
          <w:szCs w:val="32"/>
        </w:rPr>
        <w:lastRenderedPageBreak/>
        <w:t>元，决算数937.28万元，预决算差异率181.98%，主要原因是：年中追加民生工业园区防范和化解拖欠中小企业账款项目经费、民生工业园区电采暖电费、基础设施（二期）建设项目第二标段土地补偿费。</w:t>
      </w:r>
    </w:p>
    <w:p w:rsidR="004E33B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4E33BA" w:rsidRDefault="00000000">
      <w:pPr>
        <w:ind w:firstLineChars="200" w:firstLine="640"/>
        <w:rPr>
          <w:rFonts w:ascii="仿宋_GB2312" w:eastAsia="仿宋_GB2312"/>
          <w:sz w:val="32"/>
          <w:szCs w:val="32"/>
        </w:rPr>
      </w:pPr>
      <w:r>
        <w:rPr>
          <w:rFonts w:ascii="仿宋_GB2312" w:eastAsia="仿宋_GB2312"/>
          <w:sz w:val="32"/>
          <w:szCs w:val="32"/>
        </w:rPr>
        <w:t>1.一般公共服务支出（类）</w:t>
      </w:r>
      <w:r>
        <w:rPr>
          <w:rFonts w:ascii="仿宋_GB2312" w:eastAsia="仿宋_GB2312" w:hint="eastAsia"/>
          <w:sz w:val="32"/>
          <w:szCs w:val="32"/>
        </w:rPr>
        <w:t>382.19</w:t>
      </w:r>
      <w:r>
        <w:rPr>
          <w:rFonts w:ascii="仿宋_GB2312" w:eastAsia="仿宋_GB2312"/>
          <w:sz w:val="32"/>
          <w:szCs w:val="32"/>
        </w:rPr>
        <w:t>万元，占</w:t>
      </w:r>
      <w:r>
        <w:rPr>
          <w:rFonts w:ascii="仿宋_GB2312" w:eastAsia="仿宋_GB2312" w:hint="eastAsia"/>
          <w:sz w:val="32"/>
          <w:szCs w:val="32"/>
        </w:rPr>
        <w:t>40.78</w:t>
      </w:r>
      <w:r>
        <w:rPr>
          <w:rFonts w:ascii="仿宋_GB2312" w:eastAsia="仿宋_GB2312"/>
          <w:sz w:val="32"/>
          <w:szCs w:val="32"/>
        </w:rPr>
        <w:t>%；</w:t>
      </w:r>
    </w:p>
    <w:p w:rsidR="004E33BA" w:rsidRDefault="00000000">
      <w:pPr>
        <w:ind w:firstLineChars="200" w:firstLine="640"/>
        <w:rPr>
          <w:rFonts w:ascii="仿宋_GB2312" w:eastAsia="仿宋_GB2312"/>
          <w:sz w:val="32"/>
          <w:szCs w:val="32"/>
        </w:rPr>
      </w:pPr>
      <w:r>
        <w:rPr>
          <w:rFonts w:ascii="仿宋_GB2312" w:eastAsia="仿宋_GB2312"/>
          <w:sz w:val="32"/>
          <w:szCs w:val="32"/>
        </w:rPr>
        <w:t>2.社会保障和就业支出（类）</w:t>
      </w:r>
      <w:r>
        <w:rPr>
          <w:rFonts w:ascii="仿宋_GB2312" w:eastAsia="仿宋_GB2312" w:hint="eastAsia"/>
          <w:sz w:val="32"/>
          <w:szCs w:val="32"/>
        </w:rPr>
        <w:t>28.70</w:t>
      </w:r>
      <w:r>
        <w:rPr>
          <w:rFonts w:ascii="仿宋_GB2312" w:eastAsia="仿宋_GB2312"/>
          <w:sz w:val="32"/>
          <w:szCs w:val="32"/>
        </w:rPr>
        <w:t>万元，占</w:t>
      </w:r>
      <w:r>
        <w:rPr>
          <w:rFonts w:ascii="仿宋_GB2312" w:eastAsia="仿宋_GB2312" w:hint="eastAsia"/>
          <w:sz w:val="32"/>
          <w:szCs w:val="32"/>
        </w:rPr>
        <w:t>3.06</w:t>
      </w:r>
      <w:r>
        <w:rPr>
          <w:rFonts w:ascii="仿宋_GB2312" w:eastAsia="仿宋_GB2312"/>
          <w:sz w:val="32"/>
          <w:szCs w:val="32"/>
        </w:rPr>
        <w:t>%；</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.资源勘探信息等支出（类）</w:t>
      </w:r>
      <w:r>
        <w:rPr>
          <w:rFonts w:ascii="仿宋_GB2312" w:eastAsia="仿宋_GB2312" w:hint="eastAsia"/>
          <w:sz w:val="32"/>
          <w:szCs w:val="32"/>
        </w:rPr>
        <w:t>496.00</w:t>
      </w:r>
      <w:r>
        <w:rPr>
          <w:rFonts w:ascii="仿宋_GB2312" w:eastAsia="仿宋_GB2312"/>
          <w:sz w:val="32"/>
          <w:szCs w:val="32"/>
        </w:rPr>
        <w:t>万元，占</w:t>
      </w:r>
      <w:r>
        <w:rPr>
          <w:rFonts w:ascii="仿宋_GB2312" w:eastAsia="仿宋_GB2312" w:hint="eastAsia"/>
          <w:sz w:val="32"/>
          <w:szCs w:val="32"/>
        </w:rPr>
        <w:t>52.92</w:t>
      </w:r>
      <w:r>
        <w:rPr>
          <w:rFonts w:ascii="仿宋_GB2312" w:eastAsia="仿宋_GB2312"/>
          <w:sz w:val="32"/>
          <w:szCs w:val="32"/>
        </w:rPr>
        <w:t>%；</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.住房保障支出（类）</w:t>
      </w:r>
      <w:r>
        <w:rPr>
          <w:rFonts w:ascii="仿宋_GB2312" w:eastAsia="仿宋_GB2312" w:hint="eastAsia"/>
          <w:sz w:val="32"/>
          <w:szCs w:val="32"/>
        </w:rPr>
        <w:t>22.76</w:t>
      </w:r>
      <w:r>
        <w:rPr>
          <w:rFonts w:ascii="仿宋_GB2312" w:eastAsia="仿宋_GB2312"/>
          <w:sz w:val="32"/>
          <w:szCs w:val="32"/>
        </w:rPr>
        <w:t>万元，占</w:t>
      </w:r>
      <w:r>
        <w:rPr>
          <w:rFonts w:ascii="仿宋_GB2312" w:eastAsia="仿宋_GB2312" w:hint="eastAsia"/>
          <w:sz w:val="32"/>
          <w:szCs w:val="32"/>
        </w:rPr>
        <w:t>2.43</w:t>
      </w:r>
      <w:r>
        <w:rPr>
          <w:rFonts w:ascii="仿宋_GB2312" w:eastAsia="仿宋_GB2312"/>
          <w:sz w:val="32"/>
          <w:szCs w:val="32"/>
        </w:rPr>
        <w:t>%；</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sz w:val="32"/>
          <w:szCs w:val="32"/>
        </w:rPr>
        <w:t>.其他支出（类）</w:t>
      </w:r>
      <w:r>
        <w:rPr>
          <w:rFonts w:ascii="仿宋_GB2312" w:eastAsia="仿宋_GB2312" w:hint="eastAsia"/>
          <w:sz w:val="32"/>
          <w:szCs w:val="32"/>
        </w:rPr>
        <w:t>7.64</w:t>
      </w:r>
      <w:r>
        <w:rPr>
          <w:rFonts w:ascii="仿宋_GB2312" w:eastAsia="仿宋_GB2312"/>
          <w:sz w:val="32"/>
          <w:szCs w:val="32"/>
        </w:rPr>
        <w:t>万元，占</w:t>
      </w:r>
      <w:r>
        <w:rPr>
          <w:rFonts w:ascii="仿宋_GB2312" w:eastAsia="仿宋_GB2312" w:hint="eastAsia"/>
          <w:sz w:val="32"/>
          <w:szCs w:val="32"/>
        </w:rPr>
        <w:t>0.82</w:t>
      </w:r>
      <w:r>
        <w:rPr>
          <w:rFonts w:ascii="仿宋_GB2312" w:eastAsia="仿宋_GB2312"/>
          <w:sz w:val="32"/>
          <w:szCs w:val="32"/>
        </w:rPr>
        <w:t>%</w:t>
      </w:r>
      <w:r>
        <w:rPr>
          <w:rFonts w:ascii="仿宋_GB2312" w:eastAsia="仿宋_GB2312" w:hint="eastAsia"/>
          <w:sz w:val="32"/>
          <w:szCs w:val="32"/>
        </w:rPr>
        <w:t>。</w:t>
      </w:r>
    </w:p>
    <w:p w:rsidR="004E33B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1.住房保障支出（类）住房改革支出（款）住房公积金（项）:支出决算数为22.76万元，比上年决算增加1.26万元，增长5.87%，主要原因是：单位本年人员增加，相应人员公积金缴费增加。</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2.资源勘探工业信息等支出（类）支持中小企业发展和管理支出（款）其他支持中小企业发展和管理支出（项）:支出决算数为496.00万元，比上年决算增加394.13万元，增长386.91%，主要原因是：民生工业园区防范和化解拖欠中小企业账款项目经费增加。</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3.一般公共服务支出（类）商贸事务（款）其他商贸事务支出（项）:支出决算数为89.52万元，比上年决算增加</w:t>
      </w:r>
      <w:r>
        <w:rPr>
          <w:rFonts w:ascii="仿宋_GB2312" w:eastAsia="仿宋_GB2312" w:hint="eastAsia"/>
          <w:sz w:val="32"/>
          <w:szCs w:val="32"/>
        </w:rPr>
        <w:lastRenderedPageBreak/>
        <w:t>89.52万元，增长100%，主要原因是：民生工业园区电采暖电费增加、基础设施（二期）建设项目第二标段土地补偿费增加。</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4.其他支出（类）其他支出（款）其他支出（项）:支出决算数为7.64万元，比上年决算减少6.31万元，下降45.25%，主要原因是：2023年度为民办实事、办好事项目工作经费减少。</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5.一般公共服务支出（类）商贸事务（款）行政运行（项）:支出决算数为292.67万元，比上年决算增加35.91万元，增长13.99%，主要原因是：单位本年人员增加，相应人员工资、津贴补贴、奖金增加。</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6.社会保障和就业支出（类）行政事业单位养老支出（款）机关事业单位基本养老保险缴费支出（项）:支出决算数为28.70万元，比上年决算增加1.58万元，增长5.83%，主要原因是：单位本年人员增加，相应人员养老保险缴费增加。</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7.一般公共服务支出（类）其他一般公共服务支出（款）其他一般公共服务支出（项）:支出决算数为0.00万元，比上年决算减少1,991.36万元，下降100%，主要原因是：单位本年无此项经费。</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8.社会保障和就业支出（类）行政事业单位养老支出（款）机关事业单位职业年金缴费支出（项）:支出决算数</w:t>
      </w:r>
      <w:r>
        <w:rPr>
          <w:rFonts w:ascii="仿宋_GB2312" w:eastAsia="仿宋_GB2312" w:hint="eastAsia"/>
          <w:sz w:val="32"/>
          <w:szCs w:val="32"/>
        </w:rPr>
        <w:lastRenderedPageBreak/>
        <w:t>为0.00万元，比上年决算减少6.07万元，下降100%，主要原因是：单位本年无此项经费。</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9.农林水支出（类）农业农村（款）事业运行（项）:支出决算数为0.00万元，比上年决算减少2.39万元，下降100%，主要原因是：单位本年无此项经费。</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10.卫生健康支出（类）公共卫生（款）突发公共卫生事件应急处理（项）:支出决算数为0.00万元，比上年决算减少6.00万元，下降100%，主要原因是：单位本年无此项经费。</w:t>
      </w:r>
    </w:p>
    <w:p w:rsidR="004E33B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347.76万元，其中：人员经费306.83万元，包括：基本工资、津贴补贴、奖金、机关事业单位基本养老保险缴费、职工基本医疗保险缴费、其他社会保障缴费、住房公积金、其他工资福利支出、生活补助。</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公用经费40.93万元，包括：办公费、水费、电费、邮电费、取暖费、差旅费、维修（护）费、租赁费、公务接待费、劳务费、公务用车运行维护费、其他交通费用。</w:t>
      </w:r>
    </w:p>
    <w:p w:rsidR="004E33B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2023年度财政拨款“三公”经费支出4.10万元，比上年增加1.30万元，增长4</w:t>
      </w:r>
      <w:r w:rsidR="00B62731">
        <w:rPr>
          <w:rFonts w:ascii="仿宋_GB2312" w:eastAsia="仿宋_GB2312" w:hint="eastAsia"/>
          <w:sz w:val="32"/>
          <w:szCs w:val="32"/>
        </w:rPr>
        <w:t>5.91</w:t>
      </w:r>
      <w:r>
        <w:rPr>
          <w:rFonts w:ascii="仿宋_GB2312" w:eastAsia="仿宋_GB2312" w:hint="eastAsia"/>
          <w:sz w:val="32"/>
          <w:szCs w:val="32"/>
        </w:rPr>
        <w:t>%,主要原因是：车辆老化，本年车辆维修费、燃油费增加，纪检监察巡视次数增加，公务</w:t>
      </w:r>
      <w:r>
        <w:rPr>
          <w:rFonts w:ascii="仿宋_GB2312" w:eastAsia="仿宋_GB2312" w:hint="eastAsia"/>
          <w:sz w:val="32"/>
          <w:szCs w:val="32"/>
        </w:rPr>
        <w:lastRenderedPageBreak/>
        <w:t>接待次数增加。其中：因公出国（境）费支出0.00万元，占0.00%，比上年增加0.00万元，增长0.00%,主要原因是：单位本年无此项经费；公务用车购置及运行维护费支出4.00万元，占97.</w:t>
      </w:r>
      <w:r w:rsidR="00B62731">
        <w:rPr>
          <w:rFonts w:ascii="仿宋_GB2312" w:eastAsia="仿宋_GB2312" w:hint="eastAsia"/>
          <w:sz w:val="32"/>
          <w:szCs w:val="32"/>
        </w:rPr>
        <w:t>56</w:t>
      </w:r>
      <w:r>
        <w:rPr>
          <w:rFonts w:ascii="仿宋_GB2312" w:eastAsia="仿宋_GB2312" w:hint="eastAsia"/>
          <w:sz w:val="32"/>
          <w:szCs w:val="32"/>
        </w:rPr>
        <w:t>%，比上年增加1.19万元，增长42.</w:t>
      </w:r>
      <w:r w:rsidR="00B62731">
        <w:rPr>
          <w:rFonts w:ascii="仿宋_GB2312" w:eastAsia="仿宋_GB2312" w:hint="eastAsia"/>
          <w:sz w:val="32"/>
          <w:szCs w:val="32"/>
        </w:rPr>
        <w:t>35</w:t>
      </w:r>
      <w:r>
        <w:rPr>
          <w:rFonts w:ascii="仿宋_GB2312" w:eastAsia="仿宋_GB2312" w:hint="eastAsia"/>
          <w:sz w:val="32"/>
          <w:szCs w:val="32"/>
        </w:rPr>
        <w:t>%,主要原因是车辆老化，本年车辆维修费、燃油费增加；公务接待费支出0.10万元，占2.</w:t>
      </w:r>
      <w:r w:rsidR="00B62731">
        <w:rPr>
          <w:rFonts w:ascii="仿宋_GB2312" w:eastAsia="仿宋_GB2312" w:hint="eastAsia"/>
          <w:sz w:val="32"/>
          <w:szCs w:val="32"/>
        </w:rPr>
        <w:t>44</w:t>
      </w:r>
      <w:r>
        <w:rPr>
          <w:rFonts w:ascii="仿宋_GB2312" w:eastAsia="仿宋_GB2312" w:hint="eastAsia"/>
          <w:sz w:val="32"/>
          <w:szCs w:val="32"/>
        </w:rPr>
        <w:t>%，比上年增加0.10万元，增长100.00%,主要原因是：单位本年纪检监察巡视次数增加，公务接待次数增加。</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具体情况如下：</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因公出国（境）费支出0.00万元，开支内容包括单位本年无此项经费。单位全年安排的因公出国（境）团组0个，因公出国（境）0人次。</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公务用车购置及运行维护费4.00万元，其中：公务用车购置费0.00万元，公务用车运行维护费4.00万元。公务用车运行维护费开支内容包括公务用车维修维护费、燃油费、保险费、过路费等。公务用车购置数0辆，公务用车保有量1辆。国有资产占用情况中固定资产车辆1辆，与公务用车保有量差异原因是：对比无差异。</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公务接待费0.10万元，开支内容包括餐费、住宿费等。单位全年安排的国内公务接待1批次，12人次。</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与全年预算相比,财政拨款“三公”经费支出全年预算数4.10万元，决算数4.10万元，预决算差异率0.00%，主</w:t>
      </w:r>
      <w:r>
        <w:rPr>
          <w:rFonts w:ascii="仿宋_GB2312" w:eastAsia="仿宋_GB2312" w:hint="eastAsia"/>
          <w:sz w:val="32"/>
          <w:szCs w:val="32"/>
        </w:rPr>
        <w:lastRenderedPageBreak/>
        <w:t>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4.00万元，决算数4.00万元，预决算差异率0.00%，主要原因是：严格按预算执行，预决算对比无差异；公务接待费全年预算数0.10万元，决算数0.10万元，预决算差异率0.00%，主要原因是：严格按预算执行，预决算对比无差异。</w:t>
      </w:r>
    </w:p>
    <w:p w:rsidR="004E33B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2023年度政府性基金预算财政拨款收入总计7,215.57万元，其中：年初结转和结余0.00万元，本年收入7,215.57万元。政府性基金预算财政拨款支出总计7,215.57万元，其中：年末结转和结余0.00万元，本年支出7,215.57万元。</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政府性基金预算财政拨款收入支出与上年相比，增加5,198.08万元,增长257.65%,主要原因是：单位本年基础设施建设道路土地出让项目经费增加、民生工业园区装备制造产业园配套基础设施建设项目林草补偿项目经费增加。与年初预算相比,年初预算数0.00万元，决算数7,215.57万元，预决算差异率100.00%，主要原因是：年中追加基础设施建设道路土地出让项目经费、民生工业园区装备制造产业园配</w:t>
      </w:r>
      <w:r>
        <w:rPr>
          <w:rFonts w:ascii="仿宋_GB2312" w:eastAsia="仿宋_GB2312" w:hint="eastAsia"/>
          <w:sz w:val="32"/>
          <w:szCs w:val="32"/>
        </w:rPr>
        <w:lastRenderedPageBreak/>
        <w:t>套基础设施建设项目林草补偿项目经费。</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政府性基金预算财政拨款支出7,215.57万元。</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1.城乡社区支出（类）国有土地使用权出让收入安排的支出（款）征地和拆迁补偿支出（项）:支出决算数为101.52万元，比上年决算增加101.52万元，增长100%，主要原因是：单位本年基础设施建设道路土地出让项目经费增加。</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2.城乡社区支出（类）国有土地使用权出让收入安排的支出（款）农村基础设施建设支出（项）:支出决算数为114.05万元，比上年决算增加114.05万元，增长100%，主要原因是：民生工业园区装备制造产业园配套基础设施建设项目林草补偿项目经费增加。</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3.其他支出（类）其他政府性基金及对应专项债务收入安排的支出（款）其他地方自行试点项目收益专项债券收入安排的支出（项）:支出决算数为7,000.00万元，比上年决算增加5,000.00万元，增长250.00%，主要原因是：木垒县民生工业园区基础设施（三期）建设项目经费增加。</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4.城乡社区支出（类）农业土地开发资金安排的支出（款）农业土地开发资金安排的支出（项）:支出决算数为0.00万元，比上年决算减少17.49万元，下降100%，主要原因是：单位本年无此项经费。</w:t>
      </w:r>
    </w:p>
    <w:p w:rsidR="004E33B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w:t>
      </w:r>
      <w:r>
        <w:rPr>
          <w:rFonts w:ascii="仿宋_GB2312" w:eastAsia="仿宋_GB2312" w:hint="eastAsia"/>
          <w:sz w:val="32"/>
          <w:szCs w:val="32"/>
        </w:rPr>
        <w:lastRenderedPageBreak/>
        <w:t>及结转和结余，国有资本经营预算财政拨款收入支出决算表为空表。</w:t>
      </w:r>
    </w:p>
    <w:p w:rsidR="004E33BA"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rsidR="004E33B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4E33BA" w:rsidRDefault="00000000">
      <w:pPr>
        <w:ind w:firstLineChars="200" w:firstLine="640"/>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2023年度木垒哈萨克自治县民生工业园区管理委员会（事业单位）公用经费支出40.93万元，比上年增加2.60万元，增长6.78%，主要原因是：单位本年办公费、租赁费、公务接待费、公务用车运行维护费增加。</w:t>
      </w:r>
    </w:p>
    <w:p w:rsidR="004E33B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2023年度政府采购支出总额10.58万元，其中：政府采购货物支出9.38万元、政府采购工程支出0.00万元、政府采购服务支出1.20万元。</w:t>
      </w:r>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授予中小企业合同金额1.02万元，占政府采购支出总额的9.6</w:t>
      </w:r>
      <w:r w:rsidR="00474E12">
        <w:rPr>
          <w:rFonts w:ascii="仿宋_GB2312" w:eastAsia="仿宋_GB2312" w:hint="eastAsia"/>
          <w:sz w:val="32"/>
          <w:szCs w:val="32"/>
        </w:rPr>
        <w:t>4</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合同金额1.02万元，占政府采购支出总额的9.6</w:t>
      </w:r>
      <w:r w:rsidR="00474E12">
        <w:rPr>
          <w:rFonts w:ascii="仿宋_GB2312" w:eastAsia="仿宋_GB2312" w:hint="eastAsia"/>
          <w:sz w:val="32"/>
          <w:szCs w:val="32"/>
        </w:rPr>
        <w:t>4</w:t>
      </w:r>
      <w:r>
        <w:rPr>
          <w:rFonts w:ascii="仿宋_GB2312" w:eastAsia="仿宋_GB2312"/>
          <w:sz w:val="32"/>
          <w:szCs w:val="32"/>
        </w:rPr>
        <w:t>%</w:t>
      </w:r>
      <w:r>
        <w:rPr>
          <w:rFonts w:ascii="仿宋_GB2312" w:eastAsia="仿宋_GB2312" w:hint="eastAsia"/>
          <w:sz w:val="32"/>
          <w:szCs w:val="32"/>
        </w:rPr>
        <w:t>。</w:t>
      </w:r>
    </w:p>
    <w:p w:rsidR="004E33B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截至2023年12月31日，固定资产原值95.37万元，房屋0.00平方米，价值0.00万元。车辆1辆，价值46.50万元，其中：副部（省）级及以上领导用车0辆、主要负责人用车0辆、机要通信用车0辆、应急保障用车0辆、执法执勤用车0辆、特种专业技术用车0辆、离退休干部服务用车0辆、其他用车1辆，其他用车主要是：单位业务用车；</w:t>
      </w:r>
      <w:r>
        <w:rPr>
          <w:rFonts w:ascii="仿宋_GB2312" w:eastAsia="仿宋_GB2312" w:hint="eastAsia"/>
          <w:sz w:val="32"/>
          <w:szCs w:val="32"/>
        </w:rPr>
        <w:lastRenderedPageBreak/>
        <w:t>单价100万元（含）以上设备（不含车辆）0台（套）。</w:t>
      </w:r>
    </w:p>
    <w:p w:rsidR="004E33BA"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rsidR="004E33BA" w:rsidRDefault="00000000">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预算总额8,152.86万元，实际执行总额8,152.86万元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7个，全年预算数748.57万元，全年执行数747.76万元。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具体项目自评情况附绩效自评表及自评报告。</w:t>
      </w:r>
    </w:p>
    <w:tbl>
      <w:tblPr>
        <w:tblW w:w="0" w:type="auto"/>
        <w:tblLook w:val="04A0" w:firstRow="1" w:lastRow="0" w:firstColumn="1" w:lastColumn="0" w:noHBand="0" w:noVBand="1"/>
      </w:tblPr>
      <w:tblGrid>
        <w:gridCol w:w="1713"/>
        <w:gridCol w:w="964"/>
        <w:gridCol w:w="1376"/>
        <w:gridCol w:w="1260"/>
        <w:gridCol w:w="1308"/>
        <w:gridCol w:w="721"/>
        <w:gridCol w:w="590"/>
        <w:gridCol w:w="590"/>
      </w:tblGrid>
      <w:tr w:rsidR="004E33BA">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部门（单位）整体支出绩效目标自评表</w:t>
            </w:r>
          </w:p>
        </w:tc>
      </w:tr>
      <w:tr w:rsidR="004E33BA">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lastRenderedPageBreak/>
              <w:t>（2023年度）</w:t>
            </w:r>
          </w:p>
        </w:tc>
      </w:tr>
      <w:tr w:rsidR="004E33BA">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木垒县民生工业园区管理委员会</w:t>
            </w:r>
          </w:p>
        </w:tc>
      </w:tr>
      <w:tr w:rsidR="004E33BA">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资金来源</w:t>
            </w:r>
          </w:p>
        </w:tc>
        <w:tc>
          <w:tcPr>
            <w:tcW w:w="14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年初预算数</w:t>
            </w:r>
          </w:p>
        </w:tc>
        <w:tc>
          <w:tcPr>
            <w:tcW w:w="1332"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全年预算数</w:t>
            </w:r>
          </w:p>
        </w:tc>
        <w:tc>
          <w:tcPr>
            <w:tcW w:w="1384"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全年执行数</w:t>
            </w:r>
          </w:p>
        </w:tc>
        <w:tc>
          <w:tcPr>
            <w:tcW w:w="7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得分</w:t>
            </w:r>
          </w:p>
        </w:tc>
      </w:tr>
      <w:tr w:rsidR="004E33BA">
        <w:trPr>
          <w:trHeight w:val="880"/>
        </w:trPr>
        <w:tc>
          <w:tcPr>
            <w:tcW w:w="0" w:type="auto"/>
            <w:vMerge/>
            <w:tcBorders>
              <w:top w:val="single" w:sz="4" w:space="0" w:color="auto"/>
              <w:left w:val="single" w:sz="4" w:space="0" w:color="auto"/>
              <w:bottom w:val="single" w:sz="4" w:space="0" w:color="auto"/>
              <w:right w:val="single" w:sz="4" w:space="0" w:color="auto"/>
            </w:tcBorders>
            <w:vAlign w:val="center"/>
          </w:tcPr>
          <w:p w:rsidR="004E33BA" w:rsidRDefault="004E33B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中央安排</w:t>
            </w:r>
          </w:p>
        </w:tc>
        <w:tc>
          <w:tcPr>
            <w:tcW w:w="14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32"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84"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7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w:t>
            </w:r>
          </w:p>
        </w:tc>
      </w:tr>
      <w:tr w:rsidR="004E33BA">
        <w:trPr>
          <w:trHeight w:val="880"/>
        </w:trPr>
        <w:tc>
          <w:tcPr>
            <w:tcW w:w="0" w:type="auto"/>
            <w:vMerge/>
            <w:tcBorders>
              <w:top w:val="single" w:sz="4" w:space="0" w:color="auto"/>
              <w:left w:val="single" w:sz="4" w:space="0" w:color="auto"/>
              <w:bottom w:val="single" w:sz="4" w:space="0" w:color="auto"/>
              <w:right w:val="single" w:sz="4" w:space="0" w:color="auto"/>
            </w:tcBorders>
            <w:vAlign w:val="center"/>
          </w:tcPr>
          <w:p w:rsidR="004E33BA" w:rsidRDefault="004E33B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自治区安排</w:t>
            </w:r>
          </w:p>
        </w:tc>
        <w:tc>
          <w:tcPr>
            <w:tcW w:w="14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32"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7,000.00</w:t>
            </w:r>
          </w:p>
        </w:tc>
        <w:tc>
          <w:tcPr>
            <w:tcW w:w="1384"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7,000.00</w:t>
            </w:r>
          </w:p>
        </w:tc>
        <w:tc>
          <w:tcPr>
            <w:tcW w:w="7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4E33BA">
        <w:trPr>
          <w:trHeight w:val="880"/>
        </w:trPr>
        <w:tc>
          <w:tcPr>
            <w:tcW w:w="0" w:type="auto"/>
            <w:vMerge/>
            <w:tcBorders>
              <w:top w:val="single" w:sz="4" w:space="0" w:color="auto"/>
              <w:left w:val="single" w:sz="4" w:space="0" w:color="auto"/>
              <w:bottom w:val="single" w:sz="4" w:space="0" w:color="auto"/>
              <w:right w:val="single" w:sz="4" w:space="0" w:color="auto"/>
            </w:tcBorders>
            <w:vAlign w:val="center"/>
          </w:tcPr>
          <w:p w:rsidR="004E33BA" w:rsidRDefault="004E33B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地（州、市）安排</w:t>
            </w:r>
          </w:p>
        </w:tc>
        <w:tc>
          <w:tcPr>
            <w:tcW w:w="14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32"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84"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7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4E33BA">
        <w:trPr>
          <w:trHeight w:val="880"/>
        </w:trPr>
        <w:tc>
          <w:tcPr>
            <w:tcW w:w="0" w:type="auto"/>
            <w:vMerge/>
            <w:tcBorders>
              <w:top w:val="single" w:sz="4" w:space="0" w:color="auto"/>
              <w:left w:val="single" w:sz="4" w:space="0" w:color="auto"/>
              <w:bottom w:val="single" w:sz="4" w:space="0" w:color="auto"/>
              <w:right w:val="single" w:sz="4" w:space="0" w:color="auto"/>
            </w:tcBorders>
            <w:vAlign w:val="center"/>
          </w:tcPr>
          <w:p w:rsidR="004E33BA" w:rsidRDefault="004E33B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县（市、区）安排</w:t>
            </w:r>
          </w:p>
        </w:tc>
        <w:tc>
          <w:tcPr>
            <w:tcW w:w="14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332.39</w:t>
            </w:r>
          </w:p>
        </w:tc>
        <w:tc>
          <w:tcPr>
            <w:tcW w:w="1332"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1,152.86</w:t>
            </w:r>
          </w:p>
        </w:tc>
        <w:tc>
          <w:tcPr>
            <w:tcW w:w="1384"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1,152.86</w:t>
            </w:r>
          </w:p>
        </w:tc>
        <w:tc>
          <w:tcPr>
            <w:tcW w:w="7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590"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591"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4E33BA">
        <w:trPr>
          <w:trHeight w:val="880"/>
        </w:trPr>
        <w:tc>
          <w:tcPr>
            <w:tcW w:w="0" w:type="auto"/>
            <w:vMerge/>
            <w:tcBorders>
              <w:top w:val="single" w:sz="4" w:space="0" w:color="auto"/>
              <w:left w:val="single" w:sz="4" w:space="0" w:color="auto"/>
              <w:bottom w:val="single" w:sz="4" w:space="0" w:color="auto"/>
              <w:right w:val="single" w:sz="4" w:space="0" w:color="auto"/>
            </w:tcBorders>
            <w:vAlign w:val="center"/>
          </w:tcPr>
          <w:p w:rsidR="004E33BA" w:rsidRDefault="004E33B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其他资金</w:t>
            </w:r>
          </w:p>
        </w:tc>
        <w:tc>
          <w:tcPr>
            <w:tcW w:w="14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32"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1384"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0.00</w:t>
            </w:r>
          </w:p>
        </w:tc>
        <w:tc>
          <w:tcPr>
            <w:tcW w:w="7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590"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591"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4E33BA">
        <w:trPr>
          <w:trHeight w:val="880"/>
        </w:trPr>
        <w:tc>
          <w:tcPr>
            <w:tcW w:w="0" w:type="auto"/>
            <w:vMerge/>
            <w:tcBorders>
              <w:top w:val="single" w:sz="4" w:space="0" w:color="auto"/>
              <w:left w:val="single" w:sz="4" w:space="0" w:color="auto"/>
              <w:bottom w:val="single" w:sz="4" w:space="0" w:color="auto"/>
              <w:right w:val="single" w:sz="4" w:space="0" w:color="auto"/>
            </w:tcBorders>
            <w:vAlign w:val="center"/>
          </w:tcPr>
          <w:p w:rsidR="004E33BA" w:rsidRDefault="004E33B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合计</w:t>
            </w:r>
          </w:p>
        </w:tc>
        <w:tc>
          <w:tcPr>
            <w:tcW w:w="14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332.39</w:t>
            </w:r>
          </w:p>
        </w:tc>
        <w:tc>
          <w:tcPr>
            <w:tcW w:w="1332"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8,152.86</w:t>
            </w:r>
          </w:p>
        </w:tc>
        <w:tc>
          <w:tcPr>
            <w:tcW w:w="1384"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8,152.86</w:t>
            </w:r>
          </w:p>
        </w:tc>
        <w:tc>
          <w:tcPr>
            <w:tcW w:w="7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w:t>
            </w:r>
          </w:p>
        </w:tc>
      </w:tr>
      <w:tr w:rsidR="004E33BA">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年度总体目标</w:t>
            </w:r>
          </w:p>
        </w:tc>
        <w:tc>
          <w:tcPr>
            <w:tcW w:w="3687" w:type="dxa"/>
            <w:gridSpan w:val="3"/>
            <w:tcBorders>
              <w:top w:val="single" w:sz="4" w:space="0" w:color="auto"/>
              <w:left w:val="nil"/>
              <w:bottom w:val="single" w:sz="4" w:space="0" w:color="auto"/>
              <w:right w:val="single" w:sz="4" w:space="0" w:color="auto"/>
            </w:tcBorders>
            <w:shd w:val="clear" w:color="auto" w:fill="auto"/>
            <w:noWrap/>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预期目标</w:t>
            </w:r>
          </w:p>
        </w:tc>
        <w:tc>
          <w:tcPr>
            <w:tcW w:w="3254" w:type="dxa"/>
            <w:gridSpan w:val="4"/>
            <w:tcBorders>
              <w:top w:val="single" w:sz="4" w:space="0" w:color="auto"/>
              <w:left w:val="nil"/>
              <w:bottom w:val="single" w:sz="4" w:space="0" w:color="auto"/>
              <w:right w:val="single" w:sz="4" w:space="0" w:color="auto"/>
            </w:tcBorders>
            <w:shd w:val="clear" w:color="auto" w:fill="auto"/>
            <w:noWrap/>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实际完成情况</w:t>
            </w:r>
          </w:p>
        </w:tc>
      </w:tr>
      <w:tr w:rsidR="004E33BA">
        <w:trPr>
          <w:trHeight w:val="2000"/>
        </w:trPr>
        <w:tc>
          <w:tcPr>
            <w:tcW w:w="0" w:type="auto"/>
            <w:vMerge/>
            <w:tcBorders>
              <w:top w:val="single" w:sz="4" w:space="0" w:color="auto"/>
              <w:left w:val="single" w:sz="4" w:space="0" w:color="auto"/>
              <w:bottom w:val="single" w:sz="4" w:space="0" w:color="auto"/>
              <w:right w:val="single" w:sz="4" w:space="0" w:color="auto"/>
            </w:tcBorders>
            <w:vAlign w:val="center"/>
          </w:tcPr>
          <w:p w:rsidR="004E33BA" w:rsidRDefault="004E33BA">
            <w:pPr>
              <w:widowControl/>
              <w:jc w:val="left"/>
              <w:rPr>
                <w:rFonts w:asciiTheme="minorEastAsia" w:eastAsiaTheme="minorEastAsia" w:hAnsiTheme="minorEastAsia" w:cs="宋体" w:hint="eastAsia"/>
                <w:kern w:val="0"/>
                <w:sz w:val="20"/>
                <w:szCs w:val="20"/>
              </w:rPr>
            </w:pPr>
          </w:p>
        </w:tc>
        <w:tc>
          <w:tcPr>
            <w:tcW w:w="3687" w:type="dxa"/>
            <w:gridSpan w:val="3"/>
            <w:tcBorders>
              <w:top w:val="single" w:sz="4" w:space="0" w:color="auto"/>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目标1：开展民生工业园区和风光电业务协调工作，面对工业园区的企业进行协调服务。</w:t>
            </w:r>
            <w:r>
              <w:rPr>
                <w:rFonts w:asciiTheme="minorEastAsia" w:eastAsiaTheme="minorEastAsia" w:hAnsiTheme="minorEastAsia" w:cs="宋体" w:hint="eastAsia"/>
                <w:kern w:val="0"/>
                <w:sz w:val="20"/>
                <w:szCs w:val="20"/>
              </w:rPr>
              <w:br/>
            </w:r>
            <w:r>
              <w:rPr>
                <w:rFonts w:asciiTheme="minorEastAsia" w:eastAsiaTheme="minorEastAsia" w:hAnsiTheme="minorEastAsia" w:cs="宋体" w:hint="eastAsia"/>
                <w:kern w:val="0"/>
                <w:sz w:val="20"/>
                <w:szCs w:val="20"/>
              </w:rPr>
              <w:br/>
              <w:t>目标2：完成县委安排的全部工作，保证单位的基本运转。</w:t>
            </w:r>
          </w:p>
        </w:tc>
        <w:tc>
          <w:tcPr>
            <w:tcW w:w="3254" w:type="dxa"/>
            <w:gridSpan w:val="4"/>
            <w:tcBorders>
              <w:top w:val="single" w:sz="4" w:space="0" w:color="auto"/>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截止本次自评节点，我单位完成了如下工作：1.实现工业总产值28.9亿元，同比增长69%；实现增加值13.45亿元，同比增长7%，占县域</w:t>
            </w:r>
            <w:proofErr w:type="gramStart"/>
            <w:r>
              <w:rPr>
                <w:rFonts w:asciiTheme="minorEastAsia" w:eastAsiaTheme="minorEastAsia" w:hAnsiTheme="minorEastAsia" w:cs="宋体" w:hint="eastAsia"/>
                <w:kern w:val="0"/>
                <w:sz w:val="20"/>
                <w:szCs w:val="20"/>
              </w:rPr>
              <w:t>规</w:t>
            </w:r>
            <w:proofErr w:type="gramEnd"/>
            <w:r>
              <w:rPr>
                <w:rFonts w:asciiTheme="minorEastAsia" w:eastAsiaTheme="minorEastAsia" w:hAnsiTheme="minorEastAsia" w:cs="宋体" w:hint="eastAsia"/>
                <w:kern w:val="0"/>
                <w:sz w:val="20"/>
                <w:szCs w:val="20"/>
              </w:rPr>
              <w:t>上企业的100%；完成固定资产投资31亿元，与去年同期持平。2.已完成供水管网8公里，排水管网6.1公里，供热管网5.3公里，道路15公里，供电10公里外网已进入收尾阶段，为企业落</w:t>
            </w:r>
            <w:proofErr w:type="gramStart"/>
            <w:r>
              <w:rPr>
                <w:rFonts w:asciiTheme="minorEastAsia" w:eastAsiaTheme="minorEastAsia" w:hAnsiTheme="minorEastAsia" w:cs="宋体" w:hint="eastAsia"/>
                <w:kern w:val="0"/>
                <w:sz w:val="20"/>
                <w:szCs w:val="20"/>
              </w:rPr>
              <w:t>木发展</w:t>
            </w:r>
            <w:proofErr w:type="gramEnd"/>
            <w:r>
              <w:rPr>
                <w:rFonts w:asciiTheme="minorEastAsia" w:eastAsiaTheme="minorEastAsia" w:hAnsiTheme="minorEastAsia" w:cs="宋体" w:hint="eastAsia"/>
                <w:kern w:val="0"/>
                <w:sz w:val="20"/>
                <w:szCs w:val="20"/>
              </w:rPr>
              <w:t>搭建了良好平台3.执行招商引资项目13个，实现招商引资到位资金48.05亿元，同比增长16.3%；来访洽谈企业62家,签约项目34个，签约金额2097.215亿元。</w:t>
            </w:r>
          </w:p>
        </w:tc>
      </w:tr>
      <w:tr w:rsidR="004E33BA">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二级指标</w:t>
            </w:r>
          </w:p>
        </w:tc>
        <w:tc>
          <w:tcPr>
            <w:tcW w:w="14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三级指标</w:t>
            </w:r>
          </w:p>
        </w:tc>
        <w:tc>
          <w:tcPr>
            <w:tcW w:w="1332"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预期指标值</w:t>
            </w:r>
          </w:p>
        </w:tc>
        <w:tc>
          <w:tcPr>
            <w:tcW w:w="1384"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指标值设定依据</w:t>
            </w:r>
          </w:p>
        </w:tc>
        <w:tc>
          <w:tcPr>
            <w:tcW w:w="7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实际完</w:t>
            </w:r>
            <w:r>
              <w:rPr>
                <w:rFonts w:asciiTheme="minorEastAsia" w:eastAsiaTheme="minorEastAsia" w:hAnsiTheme="minorEastAsia" w:cs="宋体" w:hint="eastAsia"/>
                <w:kern w:val="0"/>
                <w:sz w:val="20"/>
                <w:szCs w:val="20"/>
              </w:rPr>
              <w:lastRenderedPageBreak/>
              <w:t>成指标值</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lastRenderedPageBreak/>
              <w:t>得分</w:t>
            </w:r>
          </w:p>
        </w:tc>
      </w:tr>
      <w:tr w:rsidR="004E33BA">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数量指标 </w:t>
            </w:r>
          </w:p>
        </w:tc>
        <w:tc>
          <w:tcPr>
            <w:tcW w:w="14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保障办公人员数量</w:t>
            </w:r>
          </w:p>
        </w:tc>
        <w:tc>
          <w:tcPr>
            <w:tcW w:w="1332"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&gt;=17人</w:t>
            </w:r>
          </w:p>
        </w:tc>
        <w:tc>
          <w:tcPr>
            <w:tcW w:w="1384"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中共木垒哈萨克自治县委员办公室关于印发《木垒哈萨克自治县民生工业园区党工委、管理委员会职能配置、内设机构和人员编制规定》的通知</w:t>
            </w:r>
          </w:p>
        </w:tc>
        <w:tc>
          <w:tcPr>
            <w:tcW w:w="7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20人</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w:t>
            </w:r>
          </w:p>
        </w:tc>
      </w:tr>
      <w:tr w:rsidR="004E33BA">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tcPr>
          <w:p w:rsidR="004E33BA" w:rsidRDefault="004E33BA">
            <w:pPr>
              <w:widowControl/>
              <w:jc w:val="left"/>
              <w:rPr>
                <w:rFonts w:asciiTheme="minorEastAsia" w:eastAsiaTheme="minorEastAsia" w:hAnsiTheme="minorEastAsia" w:cs="宋体" w:hint="eastAsia"/>
                <w:kern w:val="0"/>
                <w:sz w:val="20"/>
                <w:szCs w:val="20"/>
              </w:rPr>
            </w:pPr>
          </w:p>
        </w:tc>
        <w:tc>
          <w:tcPr>
            <w:tcW w:w="14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协调企业数量</w:t>
            </w:r>
          </w:p>
        </w:tc>
        <w:tc>
          <w:tcPr>
            <w:tcW w:w="1332"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&gt;=84家</w:t>
            </w:r>
          </w:p>
        </w:tc>
        <w:tc>
          <w:tcPr>
            <w:tcW w:w="1384"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84家</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r>
      <w:tr w:rsidR="004E33BA">
        <w:trPr>
          <w:trHeight w:val="740"/>
        </w:trPr>
        <w:tc>
          <w:tcPr>
            <w:tcW w:w="0" w:type="auto"/>
            <w:vMerge/>
            <w:tcBorders>
              <w:top w:val="single" w:sz="4" w:space="0" w:color="auto"/>
              <w:left w:val="single" w:sz="4" w:space="0" w:color="auto"/>
              <w:bottom w:val="single" w:sz="4" w:space="0" w:color="auto"/>
              <w:right w:val="single" w:sz="4" w:space="0" w:color="auto"/>
            </w:tcBorders>
            <w:vAlign w:val="center"/>
          </w:tcPr>
          <w:p w:rsidR="004E33BA" w:rsidRDefault="004E33B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tcPr>
          <w:p w:rsidR="004E33BA" w:rsidRDefault="004E33BA">
            <w:pPr>
              <w:widowControl/>
              <w:jc w:val="left"/>
              <w:rPr>
                <w:rFonts w:asciiTheme="minorEastAsia" w:eastAsiaTheme="minorEastAsia" w:hAnsiTheme="minorEastAsia" w:cs="宋体" w:hint="eastAsia"/>
                <w:kern w:val="0"/>
                <w:sz w:val="20"/>
                <w:szCs w:val="20"/>
              </w:rPr>
            </w:pPr>
          </w:p>
        </w:tc>
        <w:tc>
          <w:tcPr>
            <w:tcW w:w="14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2023年全县固定资产投资</w:t>
            </w:r>
          </w:p>
        </w:tc>
        <w:tc>
          <w:tcPr>
            <w:tcW w:w="1332"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&gt;=53亿</w:t>
            </w:r>
          </w:p>
        </w:tc>
        <w:tc>
          <w:tcPr>
            <w:tcW w:w="1384"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31亿</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8.77</w:t>
            </w:r>
          </w:p>
        </w:tc>
      </w:tr>
      <w:tr w:rsidR="004E33BA">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质量指标 </w:t>
            </w:r>
          </w:p>
        </w:tc>
        <w:tc>
          <w:tcPr>
            <w:tcW w:w="14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业务协调率</w:t>
            </w:r>
          </w:p>
        </w:tc>
        <w:tc>
          <w:tcPr>
            <w:tcW w:w="1332"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1384"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15</w:t>
            </w:r>
          </w:p>
        </w:tc>
      </w:tr>
      <w:tr w:rsidR="004E33BA">
        <w:trPr>
          <w:trHeight w:val="740"/>
        </w:trPr>
        <w:tc>
          <w:tcPr>
            <w:tcW w:w="0" w:type="auto"/>
            <w:vMerge/>
            <w:tcBorders>
              <w:top w:val="single" w:sz="4" w:space="0" w:color="auto"/>
              <w:left w:val="single" w:sz="4" w:space="0" w:color="auto"/>
              <w:bottom w:val="single" w:sz="4" w:space="0" w:color="auto"/>
              <w:right w:val="single" w:sz="4" w:space="0" w:color="auto"/>
            </w:tcBorders>
            <w:vAlign w:val="center"/>
          </w:tcPr>
          <w:p w:rsidR="004E33BA" w:rsidRDefault="004E33BA">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tcPr>
          <w:p w:rsidR="004E33BA" w:rsidRDefault="004E33BA">
            <w:pPr>
              <w:widowControl/>
              <w:jc w:val="left"/>
              <w:rPr>
                <w:rFonts w:asciiTheme="minorEastAsia" w:eastAsiaTheme="minorEastAsia" w:hAnsiTheme="minorEastAsia" w:cs="宋体" w:hint="eastAsia"/>
                <w:kern w:val="0"/>
                <w:sz w:val="20"/>
                <w:szCs w:val="20"/>
              </w:rPr>
            </w:pPr>
          </w:p>
        </w:tc>
        <w:tc>
          <w:tcPr>
            <w:tcW w:w="14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协调答复率</w:t>
            </w:r>
          </w:p>
        </w:tc>
        <w:tc>
          <w:tcPr>
            <w:tcW w:w="1332"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1384"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13</w:t>
            </w:r>
          </w:p>
        </w:tc>
      </w:tr>
      <w:tr w:rsidR="004E33BA">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数量指标 ？</w:t>
            </w:r>
          </w:p>
        </w:tc>
        <w:tc>
          <w:tcPr>
            <w:tcW w:w="14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带动当地就业人数</w:t>
            </w:r>
          </w:p>
        </w:tc>
        <w:tc>
          <w:tcPr>
            <w:tcW w:w="1332"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&gt;=1000人</w:t>
            </w:r>
          </w:p>
        </w:tc>
        <w:tc>
          <w:tcPr>
            <w:tcW w:w="1384"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w:t>
            </w:r>
            <w:r>
              <w:rPr>
                <w:rFonts w:asciiTheme="minorEastAsia" w:eastAsiaTheme="minorEastAsia" w:hAnsiTheme="minorEastAsia" w:cs="宋体" w:hint="eastAsia"/>
                <w:kern w:val="0"/>
                <w:sz w:val="20"/>
                <w:szCs w:val="20"/>
              </w:rPr>
              <w:lastRenderedPageBreak/>
              <w:t>理委员会2023年工作计划</w:t>
            </w:r>
          </w:p>
        </w:tc>
        <w:tc>
          <w:tcPr>
            <w:tcW w:w="756" w:type="dxa"/>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lastRenderedPageBreak/>
              <w:t>12</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1000人</w:t>
            </w:r>
          </w:p>
        </w:tc>
        <w:tc>
          <w:tcPr>
            <w:tcW w:w="0" w:type="auto"/>
            <w:tcBorders>
              <w:top w:val="nil"/>
              <w:left w:val="nil"/>
              <w:bottom w:val="single" w:sz="4" w:space="0" w:color="auto"/>
              <w:right w:val="single" w:sz="4" w:space="0" w:color="auto"/>
            </w:tcBorders>
            <w:shd w:val="clear" w:color="auto" w:fill="auto"/>
            <w:vAlign w:val="center"/>
          </w:tcPr>
          <w:p w:rsidR="004E33BA" w:rsidRDefault="00000000">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r>
      <w:tr w:rsidR="004E33BA">
        <w:trPr>
          <w:trHeight w:val="740"/>
        </w:trPr>
        <w:tc>
          <w:tcPr>
            <w:tcW w:w="0" w:type="auto"/>
            <w:vMerge/>
            <w:tcBorders>
              <w:top w:val="single" w:sz="4" w:space="0" w:color="auto"/>
              <w:left w:val="single" w:sz="4" w:space="0" w:color="auto"/>
              <w:bottom w:val="single" w:sz="4" w:space="0" w:color="auto"/>
              <w:right w:val="single" w:sz="4" w:space="0" w:color="auto"/>
            </w:tcBorders>
            <w:vAlign w:val="center"/>
          </w:tcPr>
          <w:p w:rsidR="004E33BA" w:rsidRDefault="004E33BA">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质量指标 </w:t>
            </w:r>
          </w:p>
        </w:tc>
        <w:tc>
          <w:tcPr>
            <w:tcW w:w="1456" w:type="dxa"/>
            <w:tcBorders>
              <w:top w:val="nil"/>
              <w:left w:val="nil"/>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园区基础设施完善率</w:t>
            </w:r>
          </w:p>
        </w:tc>
        <w:tc>
          <w:tcPr>
            <w:tcW w:w="1332" w:type="dxa"/>
            <w:tcBorders>
              <w:top w:val="nil"/>
              <w:left w:val="nil"/>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&gt;=99%</w:t>
            </w:r>
          </w:p>
        </w:tc>
        <w:tc>
          <w:tcPr>
            <w:tcW w:w="1384" w:type="dxa"/>
            <w:tcBorders>
              <w:top w:val="nil"/>
              <w:left w:val="nil"/>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99%</w:t>
            </w:r>
          </w:p>
        </w:tc>
        <w:tc>
          <w:tcPr>
            <w:tcW w:w="0" w:type="auto"/>
            <w:tcBorders>
              <w:top w:val="nil"/>
              <w:left w:val="nil"/>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12</w:t>
            </w:r>
          </w:p>
        </w:tc>
      </w:tr>
      <w:tr w:rsidR="004E33BA">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tcPr>
          <w:p w:rsidR="004E33BA" w:rsidRDefault="004E33BA">
            <w:pPr>
              <w:widowControl/>
              <w:jc w:val="left"/>
              <w:rPr>
                <w:rFonts w:asciiTheme="minorEastAsia" w:eastAsiaTheme="minorEastAsia" w:hAnsiTheme="minorEastAsia" w:cs="宋体" w:hint="eastAsia"/>
                <w:kern w:val="0"/>
                <w:sz w:val="20"/>
                <w:szCs w:val="20"/>
              </w:rPr>
            </w:pPr>
          </w:p>
        </w:tc>
        <w:tc>
          <w:tcPr>
            <w:tcW w:w="1456" w:type="dxa"/>
            <w:tcBorders>
              <w:top w:val="nil"/>
              <w:left w:val="nil"/>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1332" w:type="dxa"/>
            <w:tcBorders>
              <w:top w:val="nil"/>
              <w:left w:val="nil"/>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1384" w:type="dxa"/>
            <w:tcBorders>
              <w:top w:val="nil"/>
              <w:left w:val="nil"/>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 xml:space="preserve">　</w:t>
            </w:r>
          </w:p>
        </w:tc>
      </w:tr>
      <w:tr w:rsidR="004E33BA">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tcPr>
          <w:p w:rsidR="004E33BA" w:rsidRDefault="004E33BA">
            <w:pPr>
              <w:widowControl/>
              <w:jc w:val="left"/>
              <w:rPr>
                <w:rFonts w:asciiTheme="minorEastAsia" w:eastAsiaTheme="minorEastAsia" w:hAnsiTheme="minorEastAsia" w:cs="宋体" w:hint="eastAsia"/>
                <w:kern w:val="0"/>
                <w:sz w:val="20"/>
                <w:szCs w:val="20"/>
              </w:rPr>
            </w:pPr>
          </w:p>
        </w:tc>
        <w:tc>
          <w:tcPr>
            <w:tcW w:w="1456" w:type="dxa"/>
            <w:tcBorders>
              <w:top w:val="nil"/>
              <w:left w:val="nil"/>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企业满意度</w:t>
            </w:r>
          </w:p>
        </w:tc>
        <w:tc>
          <w:tcPr>
            <w:tcW w:w="1332" w:type="dxa"/>
            <w:tcBorders>
              <w:top w:val="nil"/>
              <w:left w:val="nil"/>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&gt;=90%</w:t>
            </w:r>
          </w:p>
        </w:tc>
        <w:tc>
          <w:tcPr>
            <w:tcW w:w="1384" w:type="dxa"/>
            <w:tcBorders>
              <w:top w:val="nil"/>
              <w:left w:val="nil"/>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木垒哈萨克自治县民生工业园区管理委员会2023年工作计划</w:t>
            </w:r>
          </w:p>
        </w:tc>
        <w:tc>
          <w:tcPr>
            <w:tcW w:w="756" w:type="dxa"/>
            <w:tcBorders>
              <w:top w:val="nil"/>
              <w:left w:val="nil"/>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noWrap/>
            <w:vAlign w:val="center"/>
          </w:tcPr>
          <w:p w:rsidR="004E33BA" w:rsidRDefault="00000000">
            <w:pPr>
              <w:widowControl/>
              <w:jc w:val="left"/>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6</w:t>
            </w:r>
          </w:p>
        </w:tc>
      </w:tr>
    </w:tbl>
    <w:p w:rsidR="004E33BA" w:rsidRDefault="004E33BA">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08"/>
        <w:gridCol w:w="408"/>
        <w:gridCol w:w="409"/>
        <w:gridCol w:w="1044"/>
        <w:gridCol w:w="1626"/>
        <w:gridCol w:w="828"/>
        <w:gridCol w:w="792"/>
        <w:gridCol w:w="696"/>
        <w:gridCol w:w="297"/>
        <w:gridCol w:w="216"/>
        <w:gridCol w:w="205"/>
        <w:gridCol w:w="429"/>
        <w:gridCol w:w="468"/>
        <w:gridCol w:w="696"/>
      </w:tblGrid>
      <w:tr w:rsidR="004E33BA">
        <w:trPr>
          <w:trHeight w:val="405"/>
        </w:trPr>
        <w:tc>
          <w:tcPr>
            <w:tcW w:w="5000" w:type="pct"/>
            <w:gridSpan w:val="14"/>
            <w:tcBorders>
              <w:top w:val="nil"/>
              <w:left w:val="nil"/>
              <w:bottom w:val="nil"/>
              <w:right w:val="nil"/>
            </w:tcBorders>
            <w:shd w:val="clear" w:color="auto" w:fill="auto"/>
            <w:vAlign w:val="center"/>
          </w:tcPr>
          <w:p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trPr>
          <w:trHeight w:val="270"/>
        </w:trPr>
        <w:tc>
          <w:tcPr>
            <w:tcW w:w="5000" w:type="pct"/>
            <w:gridSpan w:val="14"/>
            <w:tcBorders>
              <w:top w:val="nil"/>
              <w:left w:val="nil"/>
              <w:bottom w:val="nil"/>
              <w:right w:val="nil"/>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4E33BA">
        <w:trPr>
          <w:trHeight w:val="270"/>
        </w:trPr>
        <w:tc>
          <w:tcPr>
            <w:tcW w:w="47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522"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2023年度为民办实事驻村工作经费</w:t>
            </w:r>
          </w:p>
        </w:tc>
      </w:tr>
      <w:tr w:rsidR="004E33BA" w:rsidTr="00474E12">
        <w:trPr>
          <w:trHeight w:val="270"/>
        </w:trPr>
        <w:tc>
          <w:tcPr>
            <w:tcW w:w="47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756"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5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18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rsidTr="00474E12">
        <w:trPr>
          <w:trHeight w:val="480"/>
        </w:trPr>
        <w:tc>
          <w:tcPr>
            <w:tcW w:w="47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09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7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86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5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24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rsidTr="00474E12">
        <w:trPr>
          <w:trHeight w:val="440"/>
        </w:trPr>
        <w:tc>
          <w:tcPr>
            <w:tcW w:w="47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109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7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86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5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24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rsidTr="00474E12">
        <w:trPr>
          <w:trHeight w:val="440"/>
        </w:trPr>
        <w:tc>
          <w:tcPr>
            <w:tcW w:w="47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109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7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86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5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w:t>
            </w:r>
          </w:p>
        </w:tc>
        <w:tc>
          <w:tcPr>
            <w:tcW w:w="24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rsidTr="00474E12">
        <w:trPr>
          <w:trHeight w:val="440"/>
        </w:trPr>
        <w:tc>
          <w:tcPr>
            <w:tcW w:w="47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109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79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6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24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rsidTr="00474E12">
        <w:trPr>
          <w:trHeight w:val="270"/>
        </w:trPr>
        <w:tc>
          <w:tcPr>
            <w:tcW w:w="2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995"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1767"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rsidTr="00474E12">
        <w:trPr>
          <w:trHeight w:val="54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995" w:type="pct"/>
            <w:gridSpan w:val="6"/>
            <w:tcBorders>
              <w:top w:val="single" w:sz="4" w:space="0" w:color="000000"/>
              <w:left w:val="single" w:sz="4" w:space="0" w:color="000000"/>
              <w:bottom w:val="single" w:sz="4" w:space="0" w:color="000000"/>
              <w:right w:val="single" w:sz="4" w:space="0" w:color="000000"/>
            </w:tcBorders>
            <w:shd w:val="clear" w:color="auto" w:fill="auto"/>
          </w:tcPr>
          <w:p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为认真落实县委“为民办实事”驻村工作要求，切实做好经费保障工作，确保为民办实事驻村工作正常开展。根据木垒县为民办实事经费分配指标，木垒县民生工业园区驻四道沟村为民办实事工作队分配4万元工作经费，用于为民办实事工作队日常运转及为民办实事好事，该项目的实施可以有效加强美丽乡村建设，提高村民幸福感。</w:t>
            </w:r>
          </w:p>
        </w:tc>
        <w:tc>
          <w:tcPr>
            <w:tcW w:w="1767" w:type="pct"/>
            <w:gridSpan w:val="7"/>
            <w:tcBorders>
              <w:top w:val="single" w:sz="4" w:space="0" w:color="000000"/>
              <w:left w:val="single" w:sz="4" w:space="0" w:color="000000"/>
              <w:bottom w:val="single" w:sz="4" w:space="0" w:color="000000"/>
              <w:right w:val="single" w:sz="4" w:space="0" w:color="000000"/>
            </w:tcBorders>
            <w:shd w:val="clear" w:color="auto" w:fill="auto"/>
          </w:tcPr>
          <w:p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已完成驻四道沟村为民办实事工作队分配4万元工作经费支付，用于为民办实事工作队日常运转及为民办实事好事，该项目的实施有效加强了美丽乡村建设，提高了村民幸福感。</w:t>
            </w:r>
          </w:p>
        </w:tc>
      </w:tr>
      <w:tr w:rsidR="004E33BA" w:rsidTr="00474E12">
        <w:trPr>
          <w:trHeight w:val="312"/>
        </w:trPr>
        <w:tc>
          <w:tcPr>
            <w:tcW w:w="2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w:t>
            </w:r>
            <w:r>
              <w:rPr>
                <w:rFonts w:ascii="宋体" w:hAnsi="宋体" w:cs="宋体" w:hint="eastAsia"/>
                <w:color w:val="000000"/>
                <w:kern w:val="0"/>
                <w:sz w:val="20"/>
                <w:szCs w:val="20"/>
                <w:lang w:bidi="ar"/>
              </w:rPr>
              <w:lastRenderedPageBreak/>
              <w:t>级指标</w:t>
            </w:r>
          </w:p>
        </w:tc>
        <w:tc>
          <w:tcPr>
            <w:tcW w:w="58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二</w:t>
            </w:r>
            <w:r>
              <w:rPr>
                <w:rFonts w:ascii="宋体" w:hAnsi="宋体" w:cs="宋体" w:hint="eastAsia"/>
                <w:color w:val="000000"/>
                <w:kern w:val="0"/>
                <w:sz w:val="20"/>
                <w:szCs w:val="20"/>
                <w:lang w:bidi="ar"/>
              </w:rPr>
              <w:lastRenderedPageBreak/>
              <w:t>级指标</w:t>
            </w:r>
          </w:p>
        </w:tc>
        <w:tc>
          <w:tcPr>
            <w:tcW w:w="1707"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三级指标</w:t>
            </w:r>
          </w:p>
        </w:tc>
        <w:tc>
          <w:tcPr>
            <w:tcW w:w="46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w:t>
            </w:r>
            <w:r>
              <w:rPr>
                <w:rFonts w:ascii="宋体" w:hAnsi="宋体" w:cs="宋体" w:hint="eastAsia"/>
                <w:color w:val="000000"/>
                <w:kern w:val="0"/>
                <w:sz w:val="20"/>
                <w:szCs w:val="20"/>
                <w:lang w:bidi="ar"/>
              </w:rPr>
              <w:lastRenderedPageBreak/>
              <w:t>指标值</w:t>
            </w:r>
          </w:p>
        </w:tc>
        <w:tc>
          <w:tcPr>
            <w:tcW w:w="40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实际</w:t>
            </w:r>
            <w:r>
              <w:rPr>
                <w:rFonts w:ascii="宋体" w:hAnsi="宋体" w:cs="宋体" w:hint="eastAsia"/>
                <w:color w:val="000000"/>
                <w:kern w:val="0"/>
                <w:sz w:val="20"/>
                <w:szCs w:val="20"/>
                <w:lang w:bidi="ar"/>
              </w:rPr>
              <w:lastRenderedPageBreak/>
              <w:t>完成值</w:t>
            </w:r>
          </w:p>
        </w:tc>
        <w:tc>
          <w:tcPr>
            <w:tcW w:w="30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分</w:t>
            </w:r>
            <w:r>
              <w:rPr>
                <w:rFonts w:ascii="宋体" w:hAnsi="宋体" w:cs="宋体" w:hint="eastAsia"/>
                <w:color w:val="000000"/>
                <w:kern w:val="0"/>
                <w:sz w:val="20"/>
                <w:szCs w:val="20"/>
                <w:lang w:bidi="ar"/>
              </w:rPr>
              <w:lastRenderedPageBreak/>
              <w:t>值</w:t>
            </w:r>
          </w:p>
        </w:tc>
        <w:tc>
          <w:tcPr>
            <w:tcW w:w="3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得分</w:t>
            </w:r>
          </w:p>
        </w:tc>
        <w:tc>
          <w:tcPr>
            <w:tcW w:w="68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w:t>
            </w:r>
            <w:r>
              <w:rPr>
                <w:rFonts w:ascii="宋体" w:hAnsi="宋体" w:cs="宋体" w:hint="eastAsia"/>
                <w:color w:val="000000"/>
                <w:kern w:val="0"/>
                <w:sz w:val="20"/>
                <w:szCs w:val="20"/>
                <w:lang w:bidi="ar"/>
              </w:rPr>
              <w:lastRenderedPageBreak/>
              <w:t>分析及改进措施</w:t>
            </w:r>
          </w:p>
        </w:tc>
      </w:tr>
      <w:tr w:rsidR="004E33BA" w:rsidTr="00474E12">
        <w:trPr>
          <w:trHeight w:val="312"/>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58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1707"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4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40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0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68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rsidTr="00474E12">
        <w:trPr>
          <w:trHeight w:val="400"/>
        </w:trPr>
        <w:tc>
          <w:tcPr>
            <w:tcW w:w="2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2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经费保障工作队数量</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&gt;=1个</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=1个</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采购用品合格率</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工作任务完成率</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为民办实事工作经费支付及时率</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预算成本控制率</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3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4E33BA">
            <w:pPr>
              <w:jc w:val="left"/>
              <w:rPr>
                <w:rFonts w:ascii="宋体" w:hAnsi="宋体" w:cs="宋体" w:hint="eastAsia"/>
                <w:color w:val="000000"/>
                <w:sz w:val="20"/>
                <w:szCs w:val="20"/>
              </w:rPr>
            </w:pP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为民办实事工作队各项工作正常运转率</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rsidTr="00474E12">
        <w:trPr>
          <w:trHeight w:val="400"/>
        </w:trPr>
        <w:tc>
          <w:tcPr>
            <w:tcW w:w="23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5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707"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为民办实事工作队员满意度</w:t>
            </w:r>
          </w:p>
        </w:tc>
        <w:tc>
          <w:tcPr>
            <w:tcW w:w="4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4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rsidTr="00474E12">
        <w:trPr>
          <w:trHeight w:val="90"/>
        </w:trPr>
        <w:tc>
          <w:tcPr>
            <w:tcW w:w="3642"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3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68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bl>
    <w:p w:rsidR="004E33BA" w:rsidRDefault="004E33BA">
      <w:pPr>
        <w:jc w:val="left"/>
        <w:rPr>
          <w:rFonts w:ascii="仿宋_GB2312" w:eastAsia="仿宋_GB2312"/>
          <w:sz w:val="32"/>
          <w:szCs w:val="32"/>
        </w:rPr>
      </w:pPr>
    </w:p>
    <w:tbl>
      <w:tblPr>
        <w:tblW w:w="5000" w:type="pct"/>
        <w:tblLook w:val="04A0" w:firstRow="1" w:lastRow="0" w:firstColumn="1" w:lastColumn="0" w:noHBand="0" w:noVBand="1"/>
      </w:tblPr>
      <w:tblGrid>
        <w:gridCol w:w="421"/>
        <w:gridCol w:w="423"/>
        <w:gridCol w:w="588"/>
        <w:gridCol w:w="1120"/>
        <w:gridCol w:w="1437"/>
        <w:gridCol w:w="659"/>
        <w:gridCol w:w="816"/>
        <w:gridCol w:w="716"/>
        <w:gridCol w:w="267"/>
        <w:gridCol w:w="249"/>
        <w:gridCol w:w="294"/>
        <w:gridCol w:w="390"/>
        <w:gridCol w:w="426"/>
        <w:gridCol w:w="716"/>
      </w:tblGrid>
      <w:tr w:rsidR="004E33BA">
        <w:trPr>
          <w:trHeight w:val="405"/>
        </w:trPr>
        <w:tc>
          <w:tcPr>
            <w:tcW w:w="5000" w:type="pct"/>
            <w:gridSpan w:val="14"/>
            <w:tcBorders>
              <w:top w:val="nil"/>
              <w:left w:val="nil"/>
              <w:bottom w:val="nil"/>
              <w:right w:val="nil"/>
            </w:tcBorders>
            <w:shd w:val="clear" w:color="auto" w:fill="auto"/>
            <w:vAlign w:val="center"/>
          </w:tcPr>
          <w:p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trPr>
          <w:trHeight w:val="270"/>
        </w:trPr>
        <w:tc>
          <w:tcPr>
            <w:tcW w:w="5000" w:type="pct"/>
            <w:gridSpan w:val="14"/>
            <w:tcBorders>
              <w:top w:val="nil"/>
              <w:left w:val="nil"/>
              <w:bottom w:val="nil"/>
              <w:right w:val="nil"/>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4E33BA">
        <w:trPr>
          <w:trHeight w:val="270"/>
        </w:trPr>
        <w:tc>
          <w:tcPr>
            <w:tcW w:w="5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467"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办公室运行经费</w:t>
            </w:r>
          </w:p>
        </w:tc>
      </w:tr>
      <w:tr w:rsidR="004E33BA">
        <w:trPr>
          <w:trHeight w:val="270"/>
        </w:trPr>
        <w:tc>
          <w:tcPr>
            <w:tcW w:w="5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637"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5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25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trPr>
          <w:trHeight w:val="480"/>
        </w:trPr>
        <w:tc>
          <w:tcPr>
            <w:tcW w:w="533"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9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8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84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5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3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trPr>
          <w:trHeight w:val="440"/>
        </w:trPr>
        <w:tc>
          <w:tcPr>
            <w:tcW w:w="53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9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8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c>
          <w:tcPr>
            <w:tcW w:w="84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c>
          <w:tcPr>
            <w:tcW w:w="5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9.19</w:t>
            </w:r>
          </w:p>
        </w:tc>
        <w:tc>
          <w:tcPr>
            <w:tcW w:w="3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91.90%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trPr>
          <w:trHeight w:val="440"/>
        </w:trPr>
        <w:tc>
          <w:tcPr>
            <w:tcW w:w="53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9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8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c>
          <w:tcPr>
            <w:tcW w:w="84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c>
          <w:tcPr>
            <w:tcW w:w="5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9.19</w:t>
            </w:r>
          </w:p>
        </w:tc>
        <w:tc>
          <w:tcPr>
            <w:tcW w:w="3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trPr>
          <w:trHeight w:val="440"/>
        </w:trPr>
        <w:tc>
          <w:tcPr>
            <w:tcW w:w="53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98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8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4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3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trPr>
          <w:trHeight w:val="270"/>
        </w:trPr>
        <w:tc>
          <w:tcPr>
            <w:tcW w:w="26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904"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1831"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trPr>
          <w:trHeight w:val="54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904" w:type="pct"/>
            <w:gridSpan w:val="6"/>
            <w:tcBorders>
              <w:top w:val="single" w:sz="4" w:space="0" w:color="000000"/>
              <w:left w:val="single" w:sz="4" w:space="0" w:color="000000"/>
              <w:bottom w:val="single" w:sz="4" w:space="0" w:color="000000"/>
              <w:right w:val="single" w:sz="4" w:space="0" w:color="000000"/>
            </w:tcBorders>
            <w:shd w:val="clear" w:color="auto" w:fill="auto"/>
          </w:tcPr>
          <w:p w:rsidR="004E33BA" w:rsidRDefault="00000000">
            <w:pPr>
              <w:widowControl/>
              <w:jc w:val="left"/>
              <w:textAlignment w:val="top"/>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根据木财预</w:t>
            </w:r>
            <w:proofErr w:type="gramEnd"/>
            <w:r>
              <w:rPr>
                <w:rFonts w:ascii="宋体" w:hAnsi="宋体" w:cs="宋体" w:hint="eastAsia"/>
                <w:color w:val="000000"/>
                <w:kern w:val="0"/>
                <w:sz w:val="20"/>
                <w:szCs w:val="20"/>
                <w:lang w:bidi="ar"/>
              </w:rPr>
              <w:t>字（2023）54号文件，木垒县民生工业园区承担木垒县</w:t>
            </w: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产业发展，为做好</w:t>
            </w: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办公室各项工作，申请10万元保障</w:t>
            </w: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办公室日常工作正常运行。</w:t>
            </w:r>
          </w:p>
        </w:tc>
        <w:tc>
          <w:tcPr>
            <w:tcW w:w="1831" w:type="pct"/>
            <w:gridSpan w:val="7"/>
            <w:tcBorders>
              <w:top w:val="single" w:sz="4" w:space="0" w:color="000000"/>
              <w:left w:val="single" w:sz="4" w:space="0" w:color="000000"/>
              <w:bottom w:val="single" w:sz="4" w:space="0" w:color="000000"/>
              <w:right w:val="single" w:sz="4" w:space="0" w:color="000000"/>
            </w:tcBorders>
            <w:shd w:val="clear" w:color="auto" w:fill="auto"/>
          </w:tcPr>
          <w:p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截止本项目完成时限，我单位针对本项目已完成如下工作：保障办公人员数量6人，已完成9.19万元</w:t>
            </w: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办公室经费支出，保障了</w:t>
            </w: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办公室各项工作正常运行。</w:t>
            </w:r>
          </w:p>
        </w:tc>
      </w:tr>
      <w:tr w:rsidR="004E33BA" w:rsidTr="00474E12">
        <w:trPr>
          <w:trHeight w:val="312"/>
        </w:trPr>
        <w:tc>
          <w:tcPr>
            <w:tcW w:w="26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6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36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795"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4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42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303"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3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670"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4E33BA" w:rsidTr="00474E12">
        <w:trPr>
          <w:trHeight w:val="312"/>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6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1795"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4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4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0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43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67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rsidTr="00474E12">
        <w:trPr>
          <w:trHeight w:val="400"/>
        </w:trPr>
        <w:tc>
          <w:tcPr>
            <w:tcW w:w="26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26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&gt;=4人</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=6人</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7.5</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办公人员数量增加</w:t>
            </w:r>
          </w:p>
        </w:tc>
      </w:tr>
      <w:tr w:rsidR="004E33BA" w:rsidTr="00474E12">
        <w:trPr>
          <w:trHeight w:val="40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办公用品合格率</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rsidTr="00474E12">
        <w:trPr>
          <w:trHeight w:val="40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办公经费支付及时率</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rsidTr="00474E12">
        <w:trPr>
          <w:trHeight w:val="40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w:t>
            </w:r>
            <w:r>
              <w:rPr>
                <w:rFonts w:ascii="宋体" w:hAnsi="宋体" w:cs="宋体" w:hint="eastAsia"/>
                <w:color w:val="000000"/>
                <w:kern w:val="0"/>
                <w:sz w:val="20"/>
                <w:szCs w:val="20"/>
                <w:lang w:bidi="ar"/>
              </w:rPr>
              <w:lastRenderedPageBreak/>
              <w:t>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人均运转经费数</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&lt;=2.50万元</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=1.53万元</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0.6</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资金手续流程缓慢，暂未支付</w:t>
            </w:r>
          </w:p>
        </w:tc>
      </w:tr>
      <w:tr w:rsidR="004E33BA" w:rsidTr="00474E12">
        <w:trPr>
          <w:trHeight w:val="40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67" w:type="pct"/>
            <w:vMerge w:val="restart"/>
            <w:tcBorders>
              <w:top w:val="single" w:sz="4" w:space="0" w:color="000000"/>
              <w:left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办公室各项工作正常运转率</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rsidTr="00474E12">
        <w:trPr>
          <w:trHeight w:val="40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6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指导服务园区</w:t>
            </w:r>
            <w:proofErr w:type="gramStart"/>
            <w:r>
              <w:rPr>
                <w:rFonts w:ascii="宋体" w:hAnsi="宋体" w:cs="宋体" w:hint="eastAsia"/>
                <w:color w:val="000000"/>
                <w:kern w:val="0"/>
                <w:sz w:val="20"/>
                <w:szCs w:val="20"/>
                <w:lang w:bidi="ar"/>
              </w:rPr>
              <w:t>风光电</w:t>
            </w:r>
            <w:proofErr w:type="gramEnd"/>
            <w:r>
              <w:rPr>
                <w:rFonts w:ascii="宋体" w:hAnsi="宋体" w:cs="宋体" w:hint="eastAsia"/>
                <w:color w:val="000000"/>
                <w:kern w:val="0"/>
                <w:sz w:val="20"/>
                <w:szCs w:val="20"/>
                <w:lang w:bidi="ar"/>
              </w:rPr>
              <w:t>企业覆盖率</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rsidTr="00474E12">
        <w:trPr>
          <w:trHeight w:val="400"/>
        </w:trPr>
        <w:tc>
          <w:tcPr>
            <w:tcW w:w="26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3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795"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企业满意度</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rsidTr="00474E12">
        <w:trPr>
          <w:trHeight w:val="270"/>
        </w:trPr>
        <w:tc>
          <w:tcPr>
            <w:tcW w:w="359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30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73.1分</w:t>
            </w:r>
          </w:p>
        </w:tc>
        <w:tc>
          <w:tcPr>
            <w:tcW w:w="67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bl>
    <w:p w:rsidR="004E33BA" w:rsidRDefault="004E33BA">
      <w:pPr>
        <w:jc w:val="left"/>
        <w:rPr>
          <w:rFonts w:ascii="仿宋_GB2312" w:eastAsia="仿宋_GB2312"/>
          <w:sz w:val="32"/>
          <w:szCs w:val="32"/>
        </w:rPr>
      </w:pPr>
    </w:p>
    <w:tbl>
      <w:tblPr>
        <w:tblW w:w="5000" w:type="pct"/>
        <w:tblLook w:val="04A0" w:firstRow="1" w:lastRow="0" w:firstColumn="1" w:lastColumn="0" w:noHBand="0" w:noVBand="1"/>
      </w:tblPr>
      <w:tblGrid>
        <w:gridCol w:w="476"/>
        <w:gridCol w:w="481"/>
        <w:gridCol w:w="479"/>
        <w:gridCol w:w="963"/>
        <w:gridCol w:w="895"/>
        <w:gridCol w:w="559"/>
        <w:gridCol w:w="1116"/>
        <w:gridCol w:w="917"/>
        <w:gridCol w:w="348"/>
        <w:gridCol w:w="295"/>
        <w:gridCol w:w="358"/>
        <w:gridCol w:w="430"/>
        <w:gridCol w:w="486"/>
        <w:gridCol w:w="719"/>
      </w:tblGrid>
      <w:tr w:rsidR="004E33BA">
        <w:trPr>
          <w:trHeight w:val="405"/>
        </w:trPr>
        <w:tc>
          <w:tcPr>
            <w:tcW w:w="5000" w:type="pct"/>
            <w:gridSpan w:val="14"/>
            <w:tcBorders>
              <w:top w:val="nil"/>
              <w:left w:val="nil"/>
              <w:bottom w:val="nil"/>
              <w:right w:val="nil"/>
            </w:tcBorders>
            <w:shd w:val="clear" w:color="auto" w:fill="auto"/>
            <w:vAlign w:val="center"/>
          </w:tcPr>
          <w:p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trPr>
          <w:trHeight w:val="270"/>
        </w:trPr>
        <w:tc>
          <w:tcPr>
            <w:tcW w:w="5000" w:type="pct"/>
            <w:gridSpan w:val="14"/>
            <w:tcBorders>
              <w:top w:val="nil"/>
              <w:left w:val="nil"/>
              <w:bottom w:val="nil"/>
              <w:right w:val="nil"/>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4E33BA">
        <w:trPr>
          <w:trHeight w:val="270"/>
        </w:trPr>
        <w:tc>
          <w:tcPr>
            <w:tcW w:w="5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438"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基础设施（二期）建设项目第二标段土地补偿费</w:t>
            </w:r>
          </w:p>
        </w:tc>
      </w:tr>
      <w:tr w:rsidR="004E33BA">
        <w:trPr>
          <w:trHeight w:val="270"/>
        </w:trPr>
        <w:tc>
          <w:tcPr>
            <w:tcW w:w="5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35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342"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trPr>
          <w:trHeight w:val="480"/>
        </w:trPr>
        <w:tc>
          <w:tcPr>
            <w:tcW w:w="56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trPr>
          <w:trHeight w:val="440"/>
        </w:trPr>
        <w:tc>
          <w:tcPr>
            <w:tcW w:w="5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trPr>
          <w:trHeight w:val="440"/>
        </w:trPr>
        <w:tc>
          <w:tcPr>
            <w:tcW w:w="5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23.00</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trPr>
          <w:trHeight w:val="440"/>
        </w:trPr>
        <w:tc>
          <w:tcPr>
            <w:tcW w:w="5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trPr>
          <w:trHeight w:val="270"/>
        </w:trPr>
        <w:tc>
          <w:tcPr>
            <w:tcW w:w="28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636"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2084"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trPr>
          <w:trHeight w:val="54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636" w:type="pct"/>
            <w:gridSpan w:val="6"/>
            <w:tcBorders>
              <w:top w:val="single" w:sz="4" w:space="0" w:color="000000"/>
              <w:left w:val="single" w:sz="4" w:space="0" w:color="000000"/>
              <w:bottom w:val="single" w:sz="4" w:space="0" w:color="000000"/>
              <w:right w:val="single" w:sz="4" w:space="0" w:color="000000"/>
            </w:tcBorders>
            <w:shd w:val="clear" w:color="auto" w:fill="auto"/>
          </w:tcPr>
          <w:p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根据园区产业发展需要，木垒县民生工业园区实施基础设施（二期）建设项目，项目拟征占木垒县新户镇新户村六组二轮土地（羊圈圈子下地块）28.806亩，依据《中华人民共和国土地管理法》《自治区石油天然气管道用地补偿费（试行）》的相关规定，补偿管道开挖部分面积7.118亩，补偿施工占压部分面积21.688亩。</w:t>
            </w:r>
          </w:p>
        </w:tc>
        <w:tc>
          <w:tcPr>
            <w:tcW w:w="2084" w:type="pct"/>
            <w:gridSpan w:val="7"/>
            <w:tcBorders>
              <w:top w:val="single" w:sz="4" w:space="0" w:color="000000"/>
              <w:left w:val="single" w:sz="4" w:space="0" w:color="000000"/>
              <w:bottom w:val="single" w:sz="4" w:space="0" w:color="000000"/>
              <w:right w:val="single" w:sz="4" w:space="0" w:color="000000"/>
            </w:tcBorders>
            <w:shd w:val="clear" w:color="auto" w:fill="auto"/>
          </w:tcPr>
          <w:p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截止本项目完成时限，我单位针对本项目已完成如下工作：已完成补偿管道开挖部分面积7.11亩，补偿施工占压部分面积2.68亩。</w:t>
            </w:r>
          </w:p>
        </w:tc>
      </w:tr>
      <w:tr w:rsidR="004E33BA">
        <w:trPr>
          <w:trHeight w:val="312"/>
        </w:trPr>
        <w:tc>
          <w:tcPr>
            <w:tcW w:w="28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8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418"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65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53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37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6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70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4E33BA">
        <w:trPr>
          <w:trHeight w:val="312"/>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1418"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6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53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7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4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70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28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征占管道开挖部分面积</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&gt;=7.11亩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=7.11亩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征占施工占压部分面积</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&gt;=2.68亩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=2.68亩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占地补偿资金发放率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占地补偿资金发放及时率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管道开挖部分补助标准</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&lt;=1.20万元/亩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=1.2万元/亩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施工占压部分补偿标准</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&lt;=0.60万元/亩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=0.6万元/亩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4E33BA">
            <w:pPr>
              <w:jc w:val="left"/>
              <w:rPr>
                <w:rFonts w:ascii="宋体" w:hAnsi="宋体" w:cs="宋体" w:hint="eastAsia"/>
                <w:color w:val="000000"/>
                <w:sz w:val="20"/>
                <w:szCs w:val="20"/>
              </w:rPr>
            </w:pP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被占地村民安置率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28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村民满意度</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270"/>
        </w:trPr>
        <w:tc>
          <w:tcPr>
            <w:tcW w:w="3454"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bl>
    <w:p w:rsidR="004E33BA" w:rsidRDefault="004E33BA"/>
    <w:tbl>
      <w:tblPr>
        <w:tblW w:w="5000" w:type="pct"/>
        <w:tblLook w:val="04A0" w:firstRow="1" w:lastRow="0" w:firstColumn="1" w:lastColumn="0" w:noHBand="0" w:noVBand="1"/>
      </w:tblPr>
      <w:tblGrid>
        <w:gridCol w:w="475"/>
        <w:gridCol w:w="480"/>
        <w:gridCol w:w="479"/>
        <w:gridCol w:w="963"/>
        <w:gridCol w:w="895"/>
        <w:gridCol w:w="559"/>
        <w:gridCol w:w="1116"/>
        <w:gridCol w:w="917"/>
        <w:gridCol w:w="348"/>
        <w:gridCol w:w="295"/>
        <w:gridCol w:w="358"/>
        <w:gridCol w:w="430"/>
        <w:gridCol w:w="486"/>
        <w:gridCol w:w="721"/>
      </w:tblGrid>
      <w:tr w:rsidR="004E33BA">
        <w:trPr>
          <w:trHeight w:val="707"/>
        </w:trPr>
        <w:tc>
          <w:tcPr>
            <w:tcW w:w="5000" w:type="pct"/>
            <w:gridSpan w:val="14"/>
            <w:tcBorders>
              <w:top w:val="nil"/>
              <w:left w:val="nil"/>
              <w:bottom w:val="nil"/>
              <w:right w:val="nil"/>
            </w:tcBorders>
            <w:shd w:val="clear" w:color="auto" w:fill="auto"/>
            <w:vAlign w:val="center"/>
          </w:tcPr>
          <w:p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trPr>
          <w:trHeight w:val="270"/>
        </w:trPr>
        <w:tc>
          <w:tcPr>
            <w:tcW w:w="5000" w:type="pct"/>
            <w:gridSpan w:val="14"/>
            <w:tcBorders>
              <w:top w:val="nil"/>
              <w:left w:val="nil"/>
              <w:bottom w:val="nil"/>
              <w:right w:val="nil"/>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4E33BA">
        <w:trPr>
          <w:trHeight w:val="270"/>
        </w:trPr>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439"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基础设施（三期）项目草原安置、补偿、植被恢复费</w:t>
            </w:r>
          </w:p>
        </w:tc>
      </w:tr>
      <w:tr w:rsidR="004E33BA">
        <w:trPr>
          <w:trHeight w:val="270"/>
        </w:trPr>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35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342"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trPr>
          <w:trHeight w:val="480"/>
        </w:trPr>
        <w:tc>
          <w:tcPr>
            <w:tcW w:w="56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trPr>
          <w:trHeight w:val="440"/>
        </w:trPr>
        <w:tc>
          <w:tcPr>
            <w:tcW w:w="56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trPr>
          <w:trHeight w:val="440"/>
        </w:trPr>
        <w:tc>
          <w:tcPr>
            <w:tcW w:w="56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89.66</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trPr>
          <w:trHeight w:val="440"/>
        </w:trPr>
        <w:tc>
          <w:tcPr>
            <w:tcW w:w="56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8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38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trPr>
          <w:trHeight w:val="270"/>
        </w:trPr>
        <w:tc>
          <w:tcPr>
            <w:tcW w:w="2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636"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2085"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trPr>
          <w:trHeight w:val="54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636" w:type="pct"/>
            <w:gridSpan w:val="6"/>
            <w:tcBorders>
              <w:top w:val="single" w:sz="4" w:space="0" w:color="000000"/>
              <w:left w:val="single" w:sz="4" w:space="0" w:color="000000"/>
              <w:bottom w:val="single" w:sz="4" w:space="0" w:color="000000"/>
              <w:right w:val="single" w:sz="4" w:space="0" w:color="000000"/>
            </w:tcBorders>
            <w:shd w:val="clear" w:color="auto" w:fill="auto"/>
          </w:tcPr>
          <w:p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根据园区产业发展需要，木垒县民生工业园区实施基础设施（三期）项目，项目拟征占木垒县新户</w:t>
            </w:r>
            <w:proofErr w:type="gramStart"/>
            <w:r>
              <w:rPr>
                <w:rFonts w:ascii="宋体" w:hAnsi="宋体" w:cs="宋体" w:hint="eastAsia"/>
                <w:color w:val="000000"/>
                <w:kern w:val="0"/>
                <w:sz w:val="20"/>
                <w:szCs w:val="20"/>
                <w:lang w:bidi="ar"/>
              </w:rPr>
              <w:t>镇霍斯章</w:t>
            </w:r>
            <w:proofErr w:type="gramEnd"/>
            <w:r>
              <w:rPr>
                <w:rFonts w:ascii="宋体" w:hAnsi="宋体" w:cs="宋体" w:hint="eastAsia"/>
                <w:color w:val="000000"/>
                <w:kern w:val="0"/>
                <w:sz w:val="20"/>
                <w:szCs w:val="20"/>
                <w:lang w:bidi="ar"/>
              </w:rPr>
              <w:t>村牧民承包到户草场170.77亩，为了维护草原使用者和承包经营者的合法权益，就草场补偿安置相关问题，依据《中华人民共和国草原法》、《中华人民共和国土地管理法》、《中华人民共和国合同法》、《中华人民共和国民法典》、国家林业和草原局《草原征占用审核审批管理规范》（林草</w:t>
            </w:r>
            <w:proofErr w:type="gramStart"/>
            <w:r>
              <w:rPr>
                <w:rFonts w:ascii="宋体" w:hAnsi="宋体" w:cs="宋体" w:hint="eastAsia"/>
                <w:color w:val="000000"/>
                <w:kern w:val="0"/>
                <w:sz w:val="20"/>
                <w:szCs w:val="20"/>
                <w:lang w:bidi="ar"/>
              </w:rPr>
              <w:t>规</w:t>
            </w:r>
            <w:proofErr w:type="gramEnd"/>
            <w:r>
              <w:rPr>
                <w:rFonts w:ascii="宋体" w:hAnsi="宋体" w:cs="宋体" w:hint="eastAsia"/>
                <w:color w:val="000000"/>
                <w:kern w:val="0"/>
                <w:sz w:val="20"/>
                <w:szCs w:val="20"/>
                <w:lang w:bidi="ar"/>
              </w:rPr>
              <w:t>（2020）2号）的相关规定，补偿草原安置补助费、草原补偿、植被恢复费。</w:t>
            </w:r>
          </w:p>
        </w:tc>
        <w:tc>
          <w:tcPr>
            <w:tcW w:w="2085" w:type="pct"/>
            <w:gridSpan w:val="7"/>
            <w:tcBorders>
              <w:top w:val="single" w:sz="4" w:space="0" w:color="000000"/>
              <w:left w:val="single" w:sz="4" w:space="0" w:color="000000"/>
              <w:bottom w:val="single" w:sz="4" w:space="0" w:color="000000"/>
              <w:right w:val="single" w:sz="4" w:space="0" w:color="000000"/>
            </w:tcBorders>
            <w:shd w:val="clear" w:color="auto" w:fill="auto"/>
          </w:tcPr>
          <w:p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截止本项目完成时限，我单位针对本项目已完成如下工作：实施基础设施（三期）项目占用新户</w:t>
            </w:r>
            <w:proofErr w:type="gramStart"/>
            <w:r>
              <w:rPr>
                <w:rFonts w:ascii="宋体" w:hAnsi="宋体" w:cs="宋体" w:hint="eastAsia"/>
                <w:color w:val="000000"/>
                <w:kern w:val="0"/>
                <w:sz w:val="20"/>
                <w:szCs w:val="20"/>
                <w:lang w:bidi="ar"/>
              </w:rPr>
              <w:t>镇霍斯章</w:t>
            </w:r>
            <w:proofErr w:type="gramEnd"/>
            <w:r>
              <w:rPr>
                <w:rFonts w:ascii="宋体" w:hAnsi="宋体" w:cs="宋体" w:hint="eastAsia"/>
                <w:color w:val="000000"/>
                <w:kern w:val="0"/>
                <w:sz w:val="20"/>
                <w:szCs w:val="20"/>
                <w:lang w:bidi="ar"/>
              </w:rPr>
              <w:t>村牧民承包到户草场170.77亩，补偿草原安置补助费、草原补偿、植被恢复费，解决</w:t>
            </w:r>
            <w:proofErr w:type="gramStart"/>
            <w:r>
              <w:rPr>
                <w:rFonts w:ascii="宋体" w:hAnsi="宋体" w:cs="宋体" w:hint="eastAsia"/>
                <w:color w:val="000000"/>
                <w:kern w:val="0"/>
                <w:sz w:val="20"/>
                <w:szCs w:val="20"/>
                <w:lang w:bidi="ar"/>
              </w:rPr>
              <w:t>了草</w:t>
            </w:r>
            <w:proofErr w:type="gramEnd"/>
            <w:r>
              <w:rPr>
                <w:rFonts w:ascii="宋体" w:hAnsi="宋体" w:cs="宋体" w:hint="eastAsia"/>
                <w:color w:val="000000"/>
                <w:kern w:val="0"/>
                <w:sz w:val="20"/>
                <w:szCs w:val="20"/>
                <w:lang w:bidi="ar"/>
              </w:rPr>
              <w:t>场补偿安置相关问题。</w:t>
            </w:r>
          </w:p>
        </w:tc>
      </w:tr>
      <w:tr w:rsidR="004E33BA">
        <w:trPr>
          <w:trHeight w:val="312"/>
        </w:trPr>
        <w:tc>
          <w:tcPr>
            <w:tcW w:w="2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8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418"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65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53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37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6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70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4E33BA">
        <w:trPr>
          <w:trHeight w:val="312"/>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1418"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6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53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7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46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70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2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w:t>
            </w:r>
            <w:r>
              <w:rPr>
                <w:rFonts w:ascii="宋体" w:hAnsi="宋体" w:cs="宋体" w:hint="eastAsia"/>
                <w:color w:val="000000"/>
                <w:kern w:val="0"/>
                <w:sz w:val="20"/>
                <w:szCs w:val="20"/>
                <w:lang w:bidi="ar"/>
              </w:rPr>
              <w:lastRenderedPageBreak/>
              <w:t>情况</w:t>
            </w: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产出指标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征占用地面积</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&gt;=170.77亩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=170.77亩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资金发放率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资金发放及时率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草原安置补助标准</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&lt;=2737.50元/亩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=2737.5元/亩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草原补偿标准</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&lt;=1012.50元/亩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=1012.5元/亩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植被恢复费标准</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&lt;=1500元/亩</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=1500元/亩</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4E33BA">
            <w:pPr>
              <w:jc w:val="left"/>
              <w:rPr>
                <w:rFonts w:ascii="宋体" w:hAnsi="宋体" w:cs="宋体" w:hint="eastAsia"/>
                <w:color w:val="000000"/>
                <w:sz w:val="20"/>
                <w:szCs w:val="20"/>
              </w:rPr>
            </w:pP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牧民安置率</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2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41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牧民满意度</w:t>
            </w:r>
          </w:p>
        </w:tc>
        <w:tc>
          <w:tcPr>
            <w:tcW w:w="65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270"/>
        </w:trPr>
        <w:tc>
          <w:tcPr>
            <w:tcW w:w="3453"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3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6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70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bl>
    <w:p w:rsidR="004E33BA" w:rsidRDefault="004E33BA">
      <w:pPr>
        <w:jc w:val="left"/>
        <w:rPr>
          <w:rFonts w:ascii="仿宋_GB2312" w:eastAsia="仿宋_GB2312"/>
          <w:sz w:val="32"/>
          <w:szCs w:val="32"/>
        </w:rPr>
      </w:pPr>
    </w:p>
    <w:tbl>
      <w:tblPr>
        <w:tblW w:w="5000" w:type="pct"/>
        <w:tblLook w:val="04A0" w:firstRow="1" w:lastRow="0" w:firstColumn="1" w:lastColumn="0" w:noHBand="0" w:noVBand="1"/>
      </w:tblPr>
      <w:tblGrid>
        <w:gridCol w:w="560"/>
        <w:gridCol w:w="561"/>
        <w:gridCol w:w="561"/>
        <w:gridCol w:w="963"/>
        <w:gridCol w:w="895"/>
        <w:gridCol w:w="561"/>
        <w:gridCol w:w="823"/>
        <w:gridCol w:w="719"/>
        <w:gridCol w:w="431"/>
        <w:gridCol w:w="375"/>
        <w:gridCol w:w="441"/>
        <w:gridCol w:w="427"/>
        <w:gridCol w:w="489"/>
        <w:gridCol w:w="716"/>
      </w:tblGrid>
      <w:tr w:rsidR="004E33BA">
        <w:trPr>
          <w:trHeight w:val="405"/>
        </w:trPr>
        <w:tc>
          <w:tcPr>
            <w:tcW w:w="5000" w:type="pct"/>
            <w:gridSpan w:val="14"/>
            <w:tcBorders>
              <w:top w:val="nil"/>
              <w:left w:val="nil"/>
              <w:bottom w:val="nil"/>
              <w:right w:val="nil"/>
            </w:tcBorders>
            <w:shd w:val="clear" w:color="auto" w:fill="auto"/>
            <w:vAlign w:val="center"/>
          </w:tcPr>
          <w:p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trPr>
          <w:trHeight w:val="270"/>
        </w:trPr>
        <w:tc>
          <w:tcPr>
            <w:tcW w:w="5000" w:type="pct"/>
            <w:gridSpan w:val="14"/>
            <w:tcBorders>
              <w:top w:val="nil"/>
              <w:left w:val="nil"/>
              <w:bottom w:val="nil"/>
              <w:right w:val="nil"/>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(2023年度)</w:t>
            </w:r>
          </w:p>
        </w:tc>
      </w:tr>
      <w:tr w:rsidR="004E33BA">
        <w:trPr>
          <w:trHeight w:val="270"/>
        </w:trPr>
        <w:tc>
          <w:tcPr>
            <w:tcW w:w="65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342"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民生工业园区防范和化解拖欠中小企业账款资金</w:t>
            </w:r>
          </w:p>
        </w:tc>
      </w:tr>
      <w:tr w:rsidR="004E33BA">
        <w:trPr>
          <w:trHeight w:val="270"/>
        </w:trPr>
        <w:tc>
          <w:tcPr>
            <w:tcW w:w="65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23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67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437"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trPr>
          <w:trHeight w:val="480"/>
        </w:trPr>
        <w:tc>
          <w:tcPr>
            <w:tcW w:w="65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8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67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trPr>
          <w:trHeight w:val="440"/>
        </w:trPr>
        <w:tc>
          <w:tcPr>
            <w:tcW w:w="65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8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67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trPr>
          <w:trHeight w:val="440"/>
        </w:trPr>
        <w:tc>
          <w:tcPr>
            <w:tcW w:w="65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8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67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586.00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trPr>
          <w:trHeight w:val="440"/>
        </w:trPr>
        <w:tc>
          <w:tcPr>
            <w:tcW w:w="65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8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7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trPr>
          <w:trHeight w:val="270"/>
        </w:trPr>
        <w:tc>
          <w:tcPr>
            <w:tcW w:w="3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560"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2112"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trPr>
          <w:trHeight w:val="54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560" w:type="pct"/>
            <w:gridSpan w:val="6"/>
            <w:tcBorders>
              <w:top w:val="single" w:sz="4" w:space="0" w:color="000000"/>
              <w:left w:val="single" w:sz="4" w:space="0" w:color="000000"/>
              <w:bottom w:val="single" w:sz="4" w:space="0" w:color="000000"/>
              <w:right w:val="single" w:sz="4" w:space="0" w:color="000000"/>
            </w:tcBorders>
            <w:shd w:val="clear" w:color="auto" w:fill="auto"/>
          </w:tcPr>
          <w:p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2023年我单位实施民生工业园区防范和化解拖欠中小企业账款资金项目，该项目用于化解木垒县城乡园区一体化污水处理系统建设项目（续建）债务456万元，化解木垒县民生工业园区基础设施一期项目债务130万元，该项目的实施有效化解以前年度拖欠中小企业欠款，有效提高政府公信力。</w:t>
            </w:r>
          </w:p>
        </w:tc>
        <w:tc>
          <w:tcPr>
            <w:tcW w:w="2112" w:type="pct"/>
            <w:gridSpan w:val="7"/>
            <w:tcBorders>
              <w:top w:val="single" w:sz="4" w:space="0" w:color="000000"/>
              <w:left w:val="single" w:sz="4" w:space="0" w:color="000000"/>
              <w:bottom w:val="single" w:sz="4" w:space="0" w:color="000000"/>
              <w:right w:val="single" w:sz="4" w:space="0" w:color="000000"/>
            </w:tcBorders>
            <w:shd w:val="clear" w:color="auto" w:fill="auto"/>
          </w:tcPr>
          <w:p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已完成防范和化解拖欠中小企业账款资金项目2个，该项目化解了木垒县城乡园区一体化污水处理系统建设项目（续建）债务456万元，化解了木垒县民生工业园区基础设施一期项目债务130万元，该项目的实施有效化解了以前年度拖欠中小企业欠款，有效提高了政府公信力。</w:t>
            </w:r>
          </w:p>
        </w:tc>
      </w:tr>
      <w:tr w:rsidR="004E33BA">
        <w:trPr>
          <w:trHeight w:val="312"/>
        </w:trPr>
        <w:tc>
          <w:tcPr>
            <w:tcW w:w="3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3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3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419"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48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42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473"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0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70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4E33BA">
        <w:trPr>
          <w:trHeight w:val="312"/>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1419"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48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42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473"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50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70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2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3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化解项目债务数量</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&gt;=2个</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=2个</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涉及企业数量</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&gt;=2家</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=2家</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资金支付率</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债务化解及时率</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w:t>
            </w:r>
            <w:r>
              <w:rPr>
                <w:rFonts w:ascii="宋体" w:hAnsi="宋体" w:cs="宋体" w:hint="eastAsia"/>
                <w:color w:val="000000"/>
                <w:kern w:val="0"/>
                <w:sz w:val="20"/>
                <w:szCs w:val="20"/>
                <w:lang w:bidi="ar"/>
              </w:rPr>
              <w:lastRenderedPageBreak/>
              <w:t>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资金支付及时率</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3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提高政府公信力</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有效提高</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有效提高</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中小企业基本权益保障率</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&gt;=98%</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2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419"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拖欠债务企业满意度</w:t>
            </w:r>
          </w:p>
        </w:tc>
        <w:tc>
          <w:tcPr>
            <w:tcW w:w="483"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4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270"/>
        </w:trPr>
        <w:tc>
          <w:tcPr>
            <w:tcW w:w="331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4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bl>
    <w:p w:rsidR="004E33BA" w:rsidRDefault="004E33BA">
      <w:pPr>
        <w:jc w:val="left"/>
        <w:rPr>
          <w:rFonts w:ascii="仿宋_GB2312" w:eastAsia="仿宋_GB2312"/>
          <w:sz w:val="32"/>
          <w:szCs w:val="32"/>
        </w:rPr>
      </w:pPr>
    </w:p>
    <w:tbl>
      <w:tblPr>
        <w:tblW w:w="5000" w:type="pct"/>
        <w:tblLook w:val="04A0" w:firstRow="1" w:lastRow="0" w:firstColumn="1" w:lastColumn="0" w:noHBand="0" w:noVBand="1"/>
      </w:tblPr>
      <w:tblGrid>
        <w:gridCol w:w="609"/>
        <w:gridCol w:w="612"/>
        <w:gridCol w:w="610"/>
        <w:gridCol w:w="805"/>
        <w:gridCol w:w="747"/>
        <w:gridCol w:w="465"/>
        <w:gridCol w:w="917"/>
        <w:gridCol w:w="816"/>
        <w:gridCol w:w="390"/>
        <w:gridCol w:w="426"/>
        <w:gridCol w:w="491"/>
        <w:gridCol w:w="427"/>
        <w:gridCol w:w="489"/>
        <w:gridCol w:w="718"/>
      </w:tblGrid>
      <w:tr w:rsidR="004E33BA">
        <w:trPr>
          <w:trHeight w:val="405"/>
        </w:trPr>
        <w:tc>
          <w:tcPr>
            <w:tcW w:w="5000" w:type="pct"/>
            <w:gridSpan w:val="14"/>
            <w:tcBorders>
              <w:top w:val="nil"/>
              <w:left w:val="nil"/>
              <w:bottom w:val="nil"/>
              <w:right w:val="nil"/>
            </w:tcBorders>
            <w:shd w:val="clear" w:color="auto" w:fill="auto"/>
            <w:vAlign w:val="center"/>
          </w:tcPr>
          <w:p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trPr>
          <w:trHeight w:val="270"/>
        </w:trPr>
        <w:tc>
          <w:tcPr>
            <w:tcW w:w="5000" w:type="pct"/>
            <w:gridSpan w:val="14"/>
            <w:tcBorders>
              <w:top w:val="nil"/>
              <w:left w:val="nil"/>
              <w:bottom w:val="nil"/>
              <w:right w:val="nil"/>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4E33BA">
        <w:trPr>
          <w:trHeight w:val="270"/>
        </w:trPr>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283"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木垒县民生工业园区基础设施（二期）建设项目道路土地出让费</w:t>
            </w:r>
          </w:p>
        </w:tc>
      </w:tr>
      <w:tr w:rsidR="004E33BA">
        <w:trPr>
          <w:trHeight w:val="270"/>
        </w:trPr>
        <w:tc>
          <w:tcPr>
            <w:tcW w:w="71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07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496"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trPr>
          <w:trHeight w:val="480"/>
        </w:trPr>
        <w:tc>
          <w:tcPr>
            <w:tcW w:w="717"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trPr>
          <w:trHeight w:val="440"/>
        </w:trPr>
        <w:tc>
          <w:tcPr>
            <w:tcW w:w="71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trPr>
          <w:trHeight w:val="440"/>
        </w:trPr>
        <w:tc>
          <w:tcPr>
            <w:tcW w:w="71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11.86</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trPr>
          <w:trHeight w:val="440"/>
        </w:trPr>
        <w:tc>
          <w:tcPr>
            <w:tcW w:w="717"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trPr>
          <w:trHeight w:val="270"/>
        </w:trPr>
        <w:tc>
          <w:tcPr>
            <w:tcW w:w="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438"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2204"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trPr>
          <w:trHeight w:val="54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438" w:type="pct"/>
            <w:gridSpan w:val="6"/>
            <w:tcBorders>
              <w:top w:val="single" w:sz="4" w:space="0" w:color="000000"/>
              <w:left w:val="single" w:sz="4" w:space="0" w:color="000000"/>
              <w:bottom w:val="single" w:sz="4" w:space="0" w:color="000000"/>
              <w:right w:val="single" w:sz="4" w:space="0" w:color="000000"/>
            </w:tcBorders>
            <w:shd w:val="clear" w:color="auto" w:fill="auto"/>
          </w:tcPr>
          <w:p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根据园区产业发展需要，为了加强招商引资的配套，适应产业转型升级模式，给入住企业提供高效、便捷的办公及生产区域，新建道路948.7米，该项目目前需要向自然资源局缴纳土地出让费，项目道路总占地面积19773平方米，每平方米6元，共计118683元。</w:t>
            </w:r>
          </w:p>
        </w:tc>
        <w:tc>
          <w:tcPr>
            <w:tcW w:w="2204" w:type="pct"/>
            <w:gridSpan w:val="7"/>
            <w:tcBorders>
              <w:top w:val="single" w:sz="4" w:space="0" w:color="000000"/>
              <w:left w:val="single" w:sz="4" w:space="0" w:color="000000"/>
              <w:bottom w:val="single" w:sz="4" w:space="0" w:color="000000"/>
              <w:right w:val="single" w:sz="4" w:space="0" w:color="000000"/>
            </w:tcBorders>
            <w:shd w:val="clear" w:color="auto" w:fill="auto"/>
          </w:tcPr>
          <w:p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已完成向自然资源局缴纳土地出让费，项目道路总占地面积19773平方米，每平方米6元，共计118683元。加强了招商引资的配套，适应产业转型升级模式，给入住企业提供了高效、便捷的办公及生产区域</w:t>
            </w:r>
          </w:p>
        </w:tc>
      </w:tr>
      <w:tr w:rsidR="004E33BA">
        <w:trPr>
          <w:trHeight w:val="312"/>
        </w:trPr>
        <w:tc>
          <w:tcPr>
            <w:tcW w:w="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83"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53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4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47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70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4E33BA">
        <w:trPr>
          <w:trHeight w:val="312"/>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1183"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53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4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47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53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70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新建道路占地面积</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&gt;=19773平方米</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=19773平方米</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资金支付率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资金支付及时率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土地出让费标准</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&lt;=6元/平方米</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=6元/平方米</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对项目实施影响率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项目正常实施保障率</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相关部门满意度</w:t>
            </w:r>
          </w:p>
        </w:tc>
        <w:tc>
          <w:tcPr>
            <w:tcW w:w="5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270"/>
        </w:trPr>
        <w:tc>
          <w:tcPr>
            <w:tcW w:w="3275"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bl>
    <w:p w:rsidR="004E33BA" w:rsidRDefault="004E33BA">
      <w:pPr>
        <w:jc w:val="left"/>
        <w:rPr>
          <w:rFonts w:ascii="仿宋_GB2312" w:eastAsia="仿宋_GB2312"/>
          <w:sz w:val="32"/>
          <w:szCs w:val="32"/>
        </w:rPr>
      </w:pPr>
    </w:p>
    <w:tbl>
      <w:tblPr>
        <w:tblW w:w="5000" w:type="pct"/>
        <w:tblLook w:val="04A0" w:firstRow="1" w:lastRow="0" w:firstColumn="1" w:lastColumn="0" w:noHBand="0" w:noVBand="1"/>
      </w:tblPr>
      <w:tblGrid>
        <w:gridCol w:w="608"/>
        <w:gridCol w:w="612"/>
        <w:gridCol w:w="610"/>
        <w:gridCol w:w="805"/>
        <w:gridCol w:w="747"/>
        <w:gridCol w:w="465"/>
        <w:gridCol w:w="917"/>
        <w:gridCol w:w="816"/>
        <w:gridCol w:w="390"/>
        <w:gridCol w:w="426"/>
        <w:gridCol w:w="491"/>
        <w:gridCol w:w="429"/>
        <w:gridCol w:w="487"/>
        <w:gridCol w:w="719"/>
      </w:tblGrid>
      <w:tr w:rsidR="004E33BA">
        <w:trPr>
          <w:trHeight w:val="405"/>
        </w:trPr>
        <w:tc>
          <w:tcPr>
            <w:tcW w:w="5000" w:type="pct"/>
            <w:gridSpan w:val="14"/>
            <w:tcBorders>
              <w:top w:val="nil"/>
              <w:left w:val="nil"/>
              <w:bottom w:val="nil"/>
              <w:right w:val="nil"/>
            </w:tcBorders>
            <w:shd w:val="clear" w:color="auto" w:fill="auto"/>
            <w:vAlign w:val="center"/>
          </w:tcPr>
          <w:p w:rsidR="004E33B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4E33BA">
        <w:trPr>
          <w:trHeight w:val="270"/>
        </w:trPr>
        <w:tc>
          <w:tcPr>
            <w:tcW w:w="5000" w:type="pct"/>
            <w:gridSpan w:val="14"/>
            <w:tcBorders>
              <w:top w:val="nil"/>
              <w:left w:val="nil"/>
              <w:bottom w:val="nil"/>
              <w:right w:val="nil"/>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(2023年度)</w:t>
            </w:r>
          </w:p>
        </w:tc>
      </w:tr>
      <w:tr w:rsidR="004E33BA">
        <w:trPr>
          <w:trHeight w:val="270"/>
        </w:trPr>
        <w:tc>
          <w:tcPr>
            <w:tcW w:w="71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284"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木垒县民生工业园区装备制造产业配套基础设施建设项目林草补偿费用</w:t>
            </w:r>
          </w:p>
        </w:tc>
      </w:tr>
      <w:tr w:rsidR="004E33BA">
        <w:trPr>
          <w:trHeight w:val="270"/>
        </w:trPr>
        <w:tc>
          <w:tcPr>
            <w:tcW w:w="71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07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497"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木垒县民生工业园区管理委员会</w:t>
            </w:r>
          </w:p>
        </w:tc>
      </w:tr>
      <w:tr w:rsidR="004E33BA">
        <w:trPr>
          <w:trHeight w:val="480"/>
        </w:trPr>
        <w:tc>
          <w:tcPr>
            <w:tcW w:w="716"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4E33BA">
        <w:trPr>
          <w:trHeight w:val="440"/>
        </w:trPr>
        <w:tc>
          <w:tcPr>
            <w:tcW w:w="716"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4E33BA">
        <w:trPr>
          <w:trHeight w:val="440"/>
        </w:trPr>
        <w:tc>
          <w:tcPr>
            <w:tcW w:w="716"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24.05</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trPr>
          <w:trHeight w:val="440"/>
        </w:trPr>
        <w:tc>
          <w:tcPr>
            <w:tcW w:w="716"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8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1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53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4E33BA">
        <w:trPr>
          <w:trHeight w:val="270"/>
        </w:trPr>
        <w:tc>
          <w:tcPr>
            <w:tcW w:w="3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438"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2204"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4E33BA">
        <w:trPr>
          <w:trHeight w:val="54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2438" w:type="pct"/>
            <w:gridSpan w:val="6"/>
            <w:tcBorders>
              <w:top w:val="single" w:sz="4" w:space="0" w:color="000000"/>
              <w:left w:val="single" w:sz="4" w:space="0" w:color="000000"/>
              <w:bottom w:val="single" w:sz="4" w:space="0" w:color="000000"/>
              <w:right w:val="single" w:sz="4" w:space="0" w:color="000000"/>
            </w:tcBorders>
            <w:shd w:val="clear" w:color="auto" w:fill="auto"/>
          </w:tcPr>
          <w:p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2023年我单位实施木垒县民生工业园区装备制造产业园配套基础设施建设项目，项目征用木垒县大南沟乌孜别克族乡东沟村林地0.2231公顷，征用木垒县新户</w:t>
            </w:r>
            <w:proofErr w:type="gramStart"/>
            <w:r>
              <w:rPr>
                <w:rFonts w:ascii="宋体" w:hAnsi="宋体" w:cs="宋体" w:hint="eastAsia"/>
                <w:color w:val="000000"/>
                <w:kern w:val="0"/>
                <w:sz w:val="20"/>
                <w:szCs w:val="20"/>
                <w:lang w:bidi="ar"/>
              </w:rPr>
              <w:t>镇霍斯章</w:t>
            </w:r>
            <w:proofErr w:type="gramEnd"/>
            <w:r>
              <w:rPr>
                <w:rFonts w:ascii="宋体" w:hAnsi="宋体" w:cs="宋体" w:hint="eastAsia"/>
                <w:color w:val="000000"/>
                <w:kern w:val="0"/>
                <w:sz w:val="20"/>
                <w:szCs w:val="20"/>
                <w:lang w:bidi="ar"/>
              </w:rPr>
              <w:t>村草场0.8869公顷，依据相关规定对征用的林地、草场补偿林地补偿费、安置补助费、林木补偿费、森林植被恢复费22.05万元，林草手续报批费2万元，共计24.05万元。</w:t>
            </w:r>
          </w:p>
        </w:tc>
        <w:tc>
          <w:tcPr>
            <w:tcW w:w="2204" w:type="pct"/>
            <w:gridSpan w:val="7"/>
            <w:tcBorders>
              <w:top w:val="single" w:sz="4" w:space="0" w:color="000000"/>
              <w:left w:val="single" w:sz="4" w:space="0" w:color="000000"/>
              <w:bottom w:val="single" w:sz="4" w:space="0" w:color="000000"/>
              <w:right w:val="single" w:sz="4" w:space="0" w:color="000000"/>
            </w:tcBorders>
            <w:shd w:val="clear" w:color="auto" w:fill="auto"/>
          </w:tcPr>
          <w:p w:rsidR="004E33B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截止本项目完成时限，我单位针对本项目已完成如下工作：项目征用木垒县大南沟乌孜别克族乡东沟村林地0.2231公顷，征用木垒县新户</w:t>
            </w:r>
            <w:proofErr w:type="gramStart"/>
            <w:r>
              <w:rPr>
                <w:rFonts w:ascii="宋体" w:hAnsi="宋体" w:cs="宋体" w:hint="eastAsia"/>
                <w:color w:val="000000"/>
                <w:kern w:val="0"/>
                <w:sz w:val="20"/>
                <w:szCs w:val="20"/>
                <w:lang w:bidi="ar"/>
              </w:rPr>
              <w:t>镇霍斯章</w:t>
            </w:r>
            <w:proofErr w:type="gramEnd"/>
            <w:r>
              <w:rPr>
                <w:rFonts w:ascii="宋体" w:hAnsi="宋体" w:cs="宋体" w:hint="eastAsia"/>
                <w:color w:val="000000"/>
                <w:kern w:val="0"/>
                <w:sz w:val="20"/>
                <w:szCs w:val="20"/>
                <w:lang w:bidi="ar"/>
              </w:rPr>
              <w:t>村草场0.8869公顷，已依据相关规定对征用的林地、草场补偿林地补偿费、安置补助费、林木补偿费、森林植被恢复费22.05万元，林草手续报批费2万元，共计24.05万元。</w:t>
            </w:r>
          </w:p>
        </w:tc>
      </w:tr>
      <w:tr w:rsidR="004E33BA">
        <w:trPr>
          <w:trHeight w:val="312"/>
        </w:trPr>
        <w:tc>
          <w:tcPr>
            <w:tcW w:w="3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3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83"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53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47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47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53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70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4E33BA">
        <w:trPr>
          <w:trHeight w:val="312"/>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1183"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53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47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47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53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70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征用林地面积</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&gt;=0.22公顷</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=0.22公顷</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征用草场面积</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&gt;=0.89公顷</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=0.89公顷</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资金发放率</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补偿资金发放及时率</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w:t>
            </w:r>
            <w:r>
              <w:rPr>
                <w:rFonts w:ascii="宋体" w:hAnsi="宋体" w:cs="宋体" w:hint="eastAsia"/>
                <w:color w:val="000000"/>
                <w:kern w:val="0"/>
                <w:sz w:val="20"/>
                <w:szCs w:val="20"/>
                <w:lang w:bidi="ar"/>
              </w:rPr>
              <w:lastRenderedPageBreak/>
              <w:t>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经济</w:t>
            </w:r>
            <w:r>
              <w:rPr>
                <w:rFonts w:ascii="宋体" w:hAnsi="宋体" w:cs="宋体" w:hint="eastAsia"/>
                <w:color w:val="000000"/>
                <w:kern w:val="0"/>
                <w:sz w:val="20"/>
                <w:szCs w:val="20"/>
                <w:lang w:bidi="ar"/>
              </w:rPr>
              <w:lastRenderedPageBreak/>
              <w:t>成本指标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征用林地补偿成本</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&lt;=15.06万元</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=15.06万元</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征用草场补偿成本</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&lt;=6.98万元</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=6.89万元</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林草手续报批成本</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&lt;=2万元</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=2万元</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农牧民安置率</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400"/>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c>
          <w:tcPr>
            <w:tcW w:w="3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35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183"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4E33B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农牧民满意度</w:t>
            </w:r>
          </w:p>
        </w:tc>
        <w:tc>
          <w:tcPr>
            <w:tcW w:w="5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4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r w:rsidR="004E33BA">
        <w:trPr>
          <w:trHeight w:val="270"/>
        </w:trPr>
        <w:tc>
          <w:tcPr>
            <w:tcW w:w="3274"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4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3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7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33BA" w:rsidRDefault="004E33BA">
            <w:pPr>
              <w:jc w:val="center"/>
              <w:rPr>
                <w:rFonts w:ascii="宋体" w:hAnsi="宋体" w:cs="宋体" w:hint="eastAsia"/>
                <w:color w:val="000000"/>
                <w:sz w:val="20"/>
                <w:szCs w:val="20"/>
              </w:rPr>
            </w:pPr>
          </w:p>
        </w:tc>
      </w:tr>
    </w:tbl>
    <w:p w:rsidR="004E33BA" w:rsidRDefault="004E33BA">
      <w:pPr>
        <w:jc w:val="left"/>
        <w:rPr>
          <w:rFonts w:ascii="仿宋_GB2312" w:eastAsia="仿宋_GB2312"/>
          <w:sz w:val="32"/>
          <w:szCs w:val="32"/>
        </w:rPr>
      </w:pPr>
    </w:p>
    <w:p w:rsidR="004E33B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4E33B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rsidR="004E33BA"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4E33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4E33B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4E33B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4E33B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4E33B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4E33B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4E33B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rsidR="004E33BA"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rsidR="004E33BA"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rsidR="004E33BA"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rsidR="004E33B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rsidR="004E33BA"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rsidR="004E33B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rsidR="004E33B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rsidR="004E33B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rsidR="004E33BA" w:rsidRDefault="004E33BA">
      <w:pPr>
        <w:ind w:firstLineChars="200" w:firstLine="640"/>
        <w:rPr>
          <w:rFonts w:ascii="仿宋_GB2312" w:eastAsia="仿宋_GB2312"/>
          <w:sz w:val="32"/>
          <w:szCs w:val="32"/>
        </w:rPr>
      </w:pPr>
    </w:p>
    <w:p w:rsidR="004E33BA" w:rsidRDefault="004E33BA">
      <w:pPr>
        <w:ind w:firstLineChars="200" w:firstLine="640"/>
        <w:outlineLvl w:val="1"/>
        <w:rPr>
          <w:rFonts w:ascii="黑体" w:eastAsia="黑体" w:hAnsi="黑体" w:cs="宋体" w:hint="eastAsia"/>
          <w:bCs/>
          <w:kern w:val="0"/>
          <w:sz w:val="32"/>
          <w:szCs w:val="32"/>
        </w:rPr>
      </w:pPr>
    </w:p>
    <w:sectPr w:rsidR="004E33B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71953" w:rsidRDefault="00771953">
      <w:r>
        <w:separator/>
      </w:r>
    </w:p>
  </w:endnote>
  <w:endnote w:type="continuationSeparator" w:id="0">
    <w:p w:rsidR="00771953" w:rsidRDefault="00771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E33BA" w:rsidRDefault="00000000">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4E33BA" w:rsidRDefault="00000000">
                          <w:pPr>
                            <w:pStyle w:val="a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4E33BA" w:rsidRDefault="00000000">
                    <w:pPr>
                      <w:pStyle w:val="a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71953" w:rsidRDefault="00771953">
      <w:r>
        <w:separator/>
      </w:r>
    </w:p>
  </w:footnote>
  <w:footnote w:type="continuationSeparator" w:id="0">
    <w:p w:rsidR="00771953" w:rsidRDefault="00771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74749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F27DFE"/>
    <w:rsid w:val="000A2371"/>
    <w:rsid w:val="001465CC"/>
    <w:rsid w:val="001F7C28"/>
    <w:rsid w:val="00213C59"/>
    <w:rsid w:val="0027013D"/>
    <w:rsid w:val="00272A28"/>
    <w:rsid w:val="002B5531"/>
    <w:rsid w:val="003210CE"/>
    <w:rsid w:val="00341BB9"/>
    <w:rsid w:val="003F2C59"/>
    <w:rsid w:val="00474E12"/>
    <w:rsid w:val="004E33BA"/>
    <w:rsid w:val="00537AA9"/>
    <w:rsid w:val="005F4494"/>
    <w:rsid w:val="00697071"/>
    <w:rsid w:val="006C0FDD"/>
    <w:rsid w:val="00771953"/>
    <w:rsid w:val="007B0A1C"/>
    <w:rsid w:val="008869C9"/>
    <w:rsid w:val="008D321E"/>
    <w:rsid w:val="00B62731"/>
    <w:rsid w:val="00B70D59"/>
    <w:rsid w:val="00EB56C1"/>
    <w:rsid w:val="00F27DFE"/>
    <w:rsid w:val="00F52A8D"/>
    <w:rsid w:val="00FE5EA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1FF150D1"/>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117B54"/>
  <w15:docId w15:val="{E49970C8-92E6-4F10-9CDE-041CC5161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link w:val="a5"/>
    <w:qFormat/>
    <w:pPr>
      <w:spacing w:after="120"/>
    </w:pPr>
  </w:style>
  <w:style w:type="paragraph" w:styleId="TOC3">
    <w:name w:val="toc 3"/>
    <w:basedOn w:val="a"/>
    <w:next w:val="a"/>
    <w:qFormat/>
    <w:pPr>
      <w:ind w:leftChars="400" w:left="840"/>
    </w:p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8">
    <w:name w:val="Normal (Web)"/>
    <w:basedOn w:val="a"/>
    <w:qFormat/>
    <w:pPr>
      <w:spacing w:before="100" w:beforeAutospacing="1" w:after="100" w:afterAutospacing="1"/>
      <w:jc w:val="left"/>
    </w:pPr>
    <w:rPr>
      <w:kern w:val="0"/>
      <w:sz w:val="24"/>
    </w:rPr>
  </w:style>
  <w:style w:type="character" w:styleId="a9">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 w:type="character" w:customStyle="1" w:styleId="a5">
    <w:name w:val="正文文本 字符"/>
    <w:basedOn w:val="a0"/>
    <w:link w:val="a4"/>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32</Pages>
  <Words>2399</Words>
  <Characters>13678</Characters>
  <Application>Microsoft Office Word</Application>
  <DocSecurity>0</DocSecurity>
  <Lines>113</Lines>
  <Paragraphs>32</Paragraphs>
  <ScaleCrop>false</ScaleCrop>
  <Company/>
  <LinksUpToDate>false</LinksUpToDate>
  <CharactersWithSpaces>16045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7</cp:revision>
  <dcterms:created xsi:type="dcterms:W3CDTF">2014-10-29T12:08:00Z</dcterms:created>
  <dcterms:modified xsi:type="dcterms:W3CDTF">2024-09-03T04:25:00Z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